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eastAsia="宋体"/>
          <w:sz w:val="44"/>
        </w:rPr>
      </w:pPr>
      <w:bookmarkStart w:id="0" w:name="_GoBack"/>
      <w:bookmarkEnd w:id="0"/>
      <w:r>
        <w:rPr>
          <w:rFonts w:eastAsia="宋体"/>
          <w:sz w:val="44"/>
        </w:rPr>
        <w:t>天津市西青区人民法院</w:t>
      </w:r>
    </w:p>
    <w:p>
      <w:pPr>
        <w:spacing w:line="560" w:lineRule="exact"/>
        <w:jc w:val="center"/>
        <w:rPr>
          <w:rFonts w:eastAsia="黑体"/>
          <w:sz w:val="52"/>
        </w:rPr>
      </w:pPr>
      <w:r>
        <w:rPr>
          <w:rFonts w:eastAsia="黑体"/>
          <w:sz w:val="52"/>
        </w:rPr>
        <w:t>刑 事 判 决 书</w:t>
      </w:r>
    </w:p>
    <w:p>
      <w:pPr>
        <w:spacing w:line="560" w:lineRule="exact"/>
        <w:jc w:val="center"/>
      </w:pPr>
    </w:p>
    <w:p>
      <w:pPr>
        <w:spacing w:line="520" w:lineRule="exact"/>
        <w:jc w:val="right"/>
      </w:pPr>
      <w:r>
        <w:t>（201</w:t>
      </w:r>
      <w:r>
        <w:rPr>
          <w:rFonts w:hint="eastAsia"/>
        </w:rPr>
        <w:t>4</w:t>
      </w:r>
      <w:r>
        <w:t>）青刑初字第</w:t>
      </w:r>
      <w:r>
        <w:rPr>
          <w:rFonts w:hint="eastAsia"/>
        </w:rPr>
        <w:t>175</w:t>
      </w:r>
      <w:r>
        <w:t>号</w:t>
      </w:r>
    </w:p>
    <w:p>
      <w:pPr>
        <w:spacing w:line="520" w:lineRule="exact"/>
        <w:ind w:firstLine="630"/>
      </w:pPr>
      <w:r>
        <w:t>公诉机关天津市西青区人民检察院。</w:t>
      </w:r>
    </w:p>
    <w:p>
      <w:pPr>
        <w:spacing w:line="520" w:lineRule="exact"/>
        <w:ind w:firstLine="630"/>
        <w:rPr>
          <w:rFonts w:hint="eastAsia"/>
        </w:rPr>
      </w:pPr>
      <w:r>
        <w:t>被告人</w:t>
      </w:r>
      <w:r>
        <w:rPr>
          <w:rFonts w:hint="eastAsia"/>
        </w:rPr>
        <w:t>司献英，女</w:t>
      </w:r>
      <w:r>
        <w:t>，19</w:t>
      </w:r>
      <w:r>
        <w:rPr>
          <w:rFonts w:hint="eastAsia"/>
        </w:rPr>
        <w:t>68</w:t>
      </w:r>
      <w:r>
        <w:t>年</w:t>
      </w:r>
      <w:r>
        <w:rPr>
          <w:rFonts w:hint="eastAsia"/>
        </w:rPr>
        <w:t>9</w:t>
      </w:r>
      <w:r>
        <w:t>月</w:t>
      </w:r>
      <w:r>
        <w:rPr>
          <w:rFonts w:hint="eastAsia"/>
        </w:rPr>
        <w:t>7</w:t>
      </w:r>
      <w:r>
        <w:t>日出生于</w:t>
      </w:r>
      <w:r>
        <w:rPr>
          <w:rFonts w:hint="eastAsia"/>
        </w:rPr>
        <w:t>安徽省</w:t>
      </w:r>
      <w:r>
        <w:t>，汉族，</w:t>
      </w:r>
      <w:r>
        <w:rPr>
          <w:rFonts w:hint="eastAsia"/>
        </w:rPr>
        <w:t>高中</w:t>
      </w:r>
      <w:r>
        <w:t>文化，</w:t>
      </w:r>
      <w:r>
        <w:rPr>
          <w:rFonts w:hint="eastAsia"/>
        </w:rPr>
        <w:t>无业</w:t>
      </w:r>
      <w:r>
        <w:t>，</w:t>
      </w:r>
      <w:r>
        <w:rPr>
          <w:rFonts w:hint="eastAsia"/>
        </w:rPr>
        <w:t>住辽宁省沈阳市新城子区建设北路一路61-2号</w:t>
      </w:r>
      <w:r>
        <w:t>。因涉嫌犯</w:t>
      </w:r>
      <w:r>
        <w:rPr>
          <w:rFonts w:hint="eastAsia"/>
        </w:rPr>
        <w:t>信用卡</w:t>
      </w:r>
      <w:r>
        <w:t>诈骗罪于201</w:t>
      </w:r>
      <w:r>
        <w:rPr>
          <w:rFonts w:hint="eastAsia"/>
        </w:rPr>
        <w:t>3</w:t>
      </w:r>
      <w:r>
        <w:t>年</w:t>
      </w:r>
      <w:r>
        <w:rPr>
          <w:rFonts w:hint="eastAsia"/>
        </w:rPr>
        <w:t>3</w:t>
      </w:r>
      <w:r>
        <w:t>月</w:t>
      </w:r>
      <w:r>
        <w:rPr>
          <w:rFonts w:hint="eastAsia"/>
        </w:rPr>
        <w:t>28</w:t>
      </w:r>
      <w:r>
        <w:t>日被</w:t>
      </w:r>
      <w:r>
        <w:rPr>
          <w:rFonts w:hint="eastAsia"/>
        </w:rPr>
        <w:t>取保候审。</w:t>
      </w:r>
    </w:p>
    <w:p>
      <w:pPr>
        <w:spacing w:line="520" w:lineRule="exact"/>
        <w:ind w:firstLine="630"/>
        <w:rPr>
          <w:rFonts w:hint="eastAsia"/>
        </w:rPr>
      </w:pPr>
      <w:r>
        <w:t>身份证号</w:t>
      </w:r>
      <w:r>
        <w:rPr>
          <w:rFonts w:hint="eastAsia"/>
        </w:rPr>
        <w:t>210113196809070569</w:t>
      </w:r>
      <w:r>
        <w:t>。</w:t>
      </w:r>
    </w:p>
    <w:p>
      <w:pPr>
        <w:spacing w:line="520" w:lineRule="exact"/>
        <w:ind w:firstLine="630"/>
      </w:pPr>
      <w:r>
        <w:t>天津市西青区人民检察院以津西青检刑诉（201</w:t>
      </w:r>
      <w:r>
        <w:rPr>
          <w:rFonts w:hint="eastAsia"/>
        </w:rPr>
        <w:t>4</w:t>
      </w:r>
      <w:r>
        <w:t>）</w:t>
      </w:r>
      <w:r>
        <w:rPr>
          <w:rFonts w:hint="eastAsia"/>
        </w:rPr>
        <w:t>20</w:t>
      </w:r>
      <w:r>
        <w:t>号起诉书指控被告人</w:t>
      </w:r>
      <w:r>
        <w:rPr>
          <w:rFonts w:hint="eastAsia"/>
        </w:rPr>
        <w:t>司献英</w:t>
      </w:r>
      <w:r>
        <w:t>犯</w:t>
      </w:r>
      <w:r>
        <w:rPr>
          <w:rFonts w:hint="eastAsia"/>
        </w:rPr>
        <w:t>信用卡</w:t>
      </w:r>
      <w:r>
        <w:t>诈骗罪，于201</w:t>
      </w:r>
      <w:r>
        <w:rPr>
          <w:rFonts w:hint="eastAsia"/>
        </w:rPr>
        <w:t>3</w:t>
      </w:r>
      <w:r>
        <w:t>年</w:t>
      </w:r>
      <w:r>
        <w:rPr>
          <w:rFonts w:hint="eastAsia"/>
        </w:rPr>
        <w:t>3</w:t>
      </w:r>
      <w:r>
        <w:t>月</w:t>
      </w:r>
      <w:r>
        <w:rPr>
          <w:rFonts w:hint="eastAsia"/>
        </w:rPr>
        <w:t>4</w:t>
      </w:r>
      <w:r>
        <w:t>日向本院提起公诉</w:t>
      </w:r>
      <w:r>
        <w:rPr>
          <w:rFonts w:hint="eastAsia"/>
        </w:rPr>
        <w:t>，本院适用简易程序</w:t>
      </w:r>
      <w:r>
        <w:t>，依法组成合议庭，公开开庭审理了本案。天津市西青区人民检察院指派</w:t>
      </w:r>
      <w:r>
        <w:rPr>
          <w:rFonts w:hint="eastAsia"/>
        </w:rPr>
        <w:t>代理</w:t>
      </w:r>
      <w:r>
        <w:t>检察员</w:t>
      </w:r>
      <w:r>
        <w:rPr>
          <w:rFonts w:hint="eastAsia"/>
        </w:rPr>
        <w:t>王倩</w:t>
      </w:r>
      <w:r>
        <w:t>出庭支持公诉，被告人</w:t>
      </w:r>
      <w:r>
        <w:rPr>
          <w:rFonts w:hint="eastAsia"/>
        </w:rPr>
        <w:t>司献英</w:t>
      </w:r>
      <w:r>
        <w:t>到庭参加诉讼。现已审理终结。</w:t>
      </w:r>
    </w:p>
    <w:p>
      <w:pPr>
        <w:spacing w:line="520" w:lineRule="exact"/>
        <w:ind w:firstLine="630"/>
        <w:rPr>
          <w:rFonts w:hint="eastAsia"/>
        </w:rPr>
      </w:pPr>
      <w:r>
        <w:t>天津市西青区人民检察院指控</w:t>
      </w:r>
      <w:r>
        <w:rPr>
          <w:rFonts w:hint="eastAsia"/>
        </w:rPr>
        <w:t>2013年3月10日11时30分许，被告人司献英在天津市西青区李七庄街天房美域中国工商银行内，冒用梁学起遗忘在银行ATM机内的银行卡，分三次将该银行卡内7100元人民币取走后占为己有。后被告人司献英被抓获归案。</w:t>
      </w:r>
    </w:p>
    <w:p>
      <w:pPr>
        <w:spacing w:line="520" w:lineRule="exact"/>
        <w:ind w:firstLine="630"/>
      </w:pPr>
      <w:r>
        <w:t>检察机关提供了相应的证据，指控被告人</w:t>
      </w:r>
      <w:r>
        <w:rPr>
          <w:rFonts w:hint="eastAsia"/>
        </w:rPr>
        <w:t>司献英</w:t>
      </w:r>
      <w:r>
        <w:t>犯</w:t>
      </w:r>
      <w:r>
        <w:rPr>
          <w:rFonts w:hint="eastAsia"/>
        </w:rPr>
        <w:t>信用卡</w:t>
      </w:r>
      <w:r>
        <w:t>诈骗罪，请求依照《中华人民共和国刑法》第</w:t>
      </w:r>
      <w:r>
        <w:rPr>
          <w:rFonts w:hint="eastAsia"/>
        </w:rPr>
        <w:t>一</w:t>
      </w:r>
      <w:r>
        <w:t>百</w:t>
      </w:r>
      <w:r>
        <w:rPr>
          <w:rFonts w:hint="eastAsia"/>
        </w:rPr>
        <w:t>九十六</w:t>
      </w:r>
      <w:r>
        <w:t>条的规定进行处罚。</w:t>
      </w:r>
    </w:p>
    <w:p>
      <w:pPr>
        <w:spacing w:line="520" w:lineRule="exact"/>
        <w:ind w:firstLine="630"/>
        <w:rPr>
          <w:rFonts w:hint="eastAsia"/>
        </w:rPr>
      </w:pPr>
      <w:r>
        <w:t>被告人</w:t>
      </w:r>
      <w:r>
        <w:rPr>
          <w:rFonts w:hint="eastAsia"/>
        </w:rPr>
        <w:t>司献英</w:t>
      </w:r>
      <w:r>
        <w:t>供认上述指控事实，未辩解。</w:t>
      </w:r>
    </w:p>
    <w:p>
      <w:pPr>
        <w:spacing w:line="520" w:lineRule="exact"/>
        <w:ind w:firstLine="630"/>
        <w:rPr>
          <w:rFonts w:hint="eastAsia"/>
        </w:rPr>
      </w:pPr>
      <w:r>
        <w:t>经审理查明</w:t>
      </w:r>
      <w:r>
        <w:rPr>
          <w:rFonts w:hint="eastAsia"/>
        </w:rPr>
        <w:t>，2013年3月10日11时30分许，被告人司献英在天津市西青区李七庄街天房美域中国工商银行内，冒用梁学起遗忘在银行ATM机内的银行卡，分三次将该银行卡内7100元人民币取走后占为己有。后被告人司献英被抓获归案。非法占有7100元已发还被害人梁学起。</w:t>
      </w:r>
    </w:p>
    <w:p>
      <w:pPr>
        <w:spacing w:line="520" w:lineRule="exact"/>
        <w:ind w:firstLine="630"/>
      </w:pPr>
      <w:r>
        <w:t>上述事实，有检察机关提交并经法庭质证、认证的下列证据予以证明：</w:t>
      </w:r>
    </w:p>
    <w:p>
      <w:pPr>
        <w:spacing w:line="520" w:lineRule="exact"/>
        <w:ind w:firstLine="630"/>
        <w:rPr>
          <w:rFonts w:hint="eastAsia"/>
        </w:rPr>
      </w:pPr>
      <w:r>
        <w:t>1.</w:t>
      </w:r>
      <w:r>
        <w:rPr>
          <w:rFonts w:hint="eastAsia"/>
        </w:rPr>
        <w:t>被害人梁学起证实自己中国工商银行股份有限公司天津体院北支行自动取款机取款后将银行卡遗忘，后卡内被人取走7100元的情况。</w:t>
      </w:r>
    </w:p>
    <w:p>
      <w:pPr>
        <w:spacing w:line="520" w:lineRule="exact"/>
        <w:ind w:firstLine="630"/>
        <w:rPr>
          <w:rFonts w:hint="eastAsia" w:ascii="宋体" w:hAnsi="宋体" w:eastAsia="宋体" w:cs="宋体"/>
        </w:rPr>
      </w:pPr>
      <w:r>
        <w:rPr>
          <w:rFonts w:hint="eastAsia"/>
        </w:rPr>
        <w:t>2.证人田光钊及辨认笔录证实帮一中年男子在自动取款机上取款，有一女子拾得银行卡交到银行，后该男子称这卡是他的，经查询卡里被人取走7100元并报警的情况及该女子的体貌特征。</w:t>
      </w:r>
    </w:p>
    <w:p>
      <w:pPr>
        <w:spacing w:line="520" w:lineRule="exact"/>
        <w:ind w:firstLine="630"/>
        <w:rPr>
          <w:rFonts w:hint="eastAsia"/>
        </w:rPr>
      </w:pPr>
      <w:r>
        <w:rPr>
          <w:rFonts w:hint="eastAsia"/>
        </w:rPr>
        <w:t>3.调取银行监控录像、相关书证、扣押发还物品清单证实被告人司献英取款及发还被害人情况。</w:t>
      </w:r>
    </w:p>
    <w:p>
      <w:pPr>
        <w:spacing w:line="520" w:lineRule="exact"/>
        <w:ind w:firstLine="630"/>
        <w:rPr>
          <w:rFonts w:hint="eastAsia"/>
        </w:rPr>
      </w:pPr>
      <w:r>
        <w:rPr>
          <w:rFonts w:hint="eastAsia"/>
        </w:rPr>
        <w:t>4</w:t>
      </w:r>
      <w:r>
        <w:t>.书证证实被告人</w:t>
      </w:r>
      <w:r>
        <w:rPr>
          <w:rFonts w:hint="eastAsia"/>
        </w:rPr>
        <w:t>司献英及被害人梁学起身份情况、司献英的归案情况</w:t>
      </w:r>
      <w:r>
        <w:t>及</w:t>
      </w:r>
      <w:r>
        <w:rPr>
          <w:rFonts w:hint="eastAsia"/>
        </w:rPr>
        <w:t>无</w:t>
      </w:r>
      <w:r>
        <w:t>前科材料。</w:t>
      </w:r>
    </w:p>
    <w:p>
      <w:pPr>
        <w:spacing w:line="520" w:lineRule="exact"/>
        <w:ind w:firstLine="630"/>
        <w:rPr>
          <w:rFonts w:hint="eastAsia"/>
        </w:rPr>
      </w:pPr>
      <w:r>
        <w:rPr>
          <w:rFonts w:hint="eastAsia"/>
        </w:rPr>
        <w:t>5.相关照片证实案发现场情况。</w:t>
      </w:r>
    </w:p>
    <w:p>
      <w:pPr>
        <w:spacing w:line="520" w:lineRule="exact"/>
        <w:ind w:firstLine="630"/>
      </w:pPr>
      <w:r>
        <w:rPr>
          <w:rFonts w:hint="eastAsia"/>
        </w:rPr>
        <w:t>6</w:t>
      </w:r>
      <w:r>
        <w:t>.被告人</w:t>
      </w:r>
      <w:r>
        <w:rPr>
          <w:rFonts w:hint="eastAsia"/>
        </w:rPr>
        <w:t>司献英</w:t>
      </w:r>
      <w:r>
        <w:t>供述。</w:t>
      </w:r>
    </w:p>
    <w:p>
      <w:pPr>
        <w:spacing w:line="520" w:lineRule="exact"/>
        <w:ind w:firstLine="630"/>
      </w:pPr>
      <w:r>
        <w:t>本院认为</w:t>
      </w:r>
      <w:r>
        <w:rPr>
          <w:rFonts w:hint="eastAsia"/>
        </w:rPr>
        <w:t>，</w:t>
      </w:r>
      <w:r>
        <w:t>被告人</w:t>
      </w:r>
      <w:r>
        <w:rPr>
          <w:rFonts w:hint="eastAsia"/>
        </w:rPr>
        <w:t>司献英以非法占有为目的，冒用他人信用卡</w:t>
      </w:r>
      <w:r>
        <w:t>数额</w:t>
      </w:r>
      <w:r>
        <w:rPr>
          <w:rFonts w:hint="eastAsia"/>
        </w:rPr>
        <w:t>较</w:t>
      </w:r>
      <w:r>
        <w:t>大，其行为已构成</w:t>
      </w:r>
      <w:r>
        <w:rPr>
          <w:rFonts w:hint="eastAsia"/>
        </w:rPr>
        <w:t>信用卡</w:t>
      </w:r>
      <w:r>
        <w:t>诈骗罪。公诉机关指控的罪名成立。</w:t>
      </w:r>
      <w:r>
        <w:rPr>
          <w:rFonts w:hint="eastAsia"/>
        </w:rPr>
        <w:t>鉴定于</w:t>
      </w:r>
      <w:r>
        <w:t>被告人</w:t>
      </w:r>
      <w:r>
        <w:rPr>
          <w:rFonts w:hint="eastAsia"/>
        </w:rPr>
        <w:t>司献英积极退赔被害人、归案后如实供述自己的犯罪事实，依法可从轻处罚。</w:t>
      </w:r>
      <w:r>
        <w:t>依照《中华人民共和国刑法》第</w:t>
      </w:r>
      <w:r>
        <w:rPr>
          <w:rFonts w:hint="eastAsia"/>
        </w:rPr>
        <w:t>一</w:t>
      </w:r>
      <w:r>
        <w:t>百</w:t>
      </w:r>
      <w:r>
        <w:rPr>
          <w:rFonts w:hint="eastAsia"/>
        </w:rPr>
        <w:t>九</w:t>
      </w:r>
      <w:r>
        <w:t>十六条</w:t>
      </w:r>
      <w:r>
        <w:rPr>
          <w:rFonts w:hint="eastAsia"/>
        </w:rPr>
        <w:t>第一款（三）项</w:t>
      </w:r>
      <w:r>
        <w:t>、</w:t>
      </w:r>
      <w:r>
        <w:rPr>
          <w:rFonts w:hint="eastAsia"/>
        </w:rPr>
        <w:t>第六十七条第三款、第七十二条</w:t>
      </w:r>
      <w:r>
        <w:rPr>
          <w:szCs w:val="32"/>
        </w:rPr>
        <w:t>第一款、第二款</w:t>
      </w:r>
      <w:r>
        <w:t>之规定，判决如下：</w:t>
      </w:r>
    </w:p>
    <w:p>
      <w:pPr>
        <w:spacing w:line="520" w:lineRule="exact"/>
        <w:ind w:firstLine="630"/>
      </w:pPr>
      <w:r>
        <w:t>被告人</w:t>
      </w:r>
      <w:r>
        <w:rPr>
          <w:rFonts w:hint="eastAsia"/>
        </w:rPr>
        <w:t>司献英</w:t>
      </w:r>
      <w:r>
        <w:t>犯</w:t>
      </w:r>
      <w:r>
        <w:rPr>
          <w:rFonts w:hint="eastAsia"/>
        </w:rPr>
        <w:t>信用卡</w:t>
      </w:r>
      <w:r>
        <w:t>诈骗罪，判处</w:t>
      </w:r>
      <w:r>
        <w:rPr>
          <w:rFonts w:hint="eastAsia"/>
        </w:rPr>
        <w:t>有期徒刑六个月，缓刑一年</w:t>
      </w:r>
      <w:r>
        <w:t>，并处罚金</w:t>
      </w:r>
      <w:r>
        <w:rPr>
          <w:rFonts w:hint="eastAsia"/>
        </w:rPr>
        <w:t>2</w:t>
      </w:r>
      <w:r>
        <w:t>0000元。</w:t>
      </w:r>
    </w:p>
    <w:p>
      <w:pPr>
        <w:spacing w:line="520" w:lineRule="exact"/>
        <w:ind w:firstLine="630"/>
      </w:pPr>
      <w:r>
        <w:t>（</w:t>
      </w:r>
      <w:r>
        <w:rPr>
          <w:rFonts w:hint="eastAsia"/>
        </w:rPr>
        <w:t>缓刑考验期从判决确定之日起计算</w:t>
      </w:r>
      <w:r>
        <w:t>，罚金</w:t>
      </w:r>
      <w:r>
        <w:rPr>
          <w:rFonts w:hint="eastAsia"/>
        </w:rPr>
        <w:t>已</w:t>
      </w:r>
      <w:r>
        <w:t>缴纳）。</w:t>
      </w:r>
    </w:p>
    <w:p>
      <w:pPr>
        <w:spacing w:line="520" w:lineRule="exact"/>
        <w:ind w:firstLine="630"/>
      </w:pPr>
      <w:r>
        <w:t>如不服本判决，可在接到判决书的第二日起十日内，通过本院或者直接向天津市第一中级人民法院提出上诉。书面上诉的，应当提交上诉状正本一份，副本一份。</w:t>
      </w:r>
    </w:p>
    <w:p>
      <w:pPr>
        <w:spacing w:line="520" w:lineRule="exact"/>
        <w:ind w:firstLine="630"/>
      </w:pPr>
    </w:p>
    <w:p>
      <w:pPr>
        <w:spacing w:line="520" w:lineRule="exact"/>
        <w:ind w:firstLine="630"/>
      </w:pPr>
    </w:p>
    <w:p>
      <w:pPr>
        <w:spacing w:line="520" w:lineRule="exact"/>
        <w:ind w:firstLine="630"/>
        <w:jc w:val="right"/>
        <w:rPr>
          <w:rFonts w:hint="eastAsia"/>
        </w:rPr>
      </w:pPr>
      <w:r>
        <w:t xml:space="preserve">审  判  长 </w:t>
      </w:r>
      <w:r>
        <w:rPr>
          <w:rFonts w:hint="eastAsia"/>
        </w:rPr>
        <w:t xml:space="preserve">  </w:t>
      </w:r>
      <w:r>
        <w:t xml:space="preserve">  </w:t>
      </w:r>
      <w:r>
        <w:rPr>
          <w:rFonts w:hint="eastAsia"/>
        </w:rPr>
        <w:t>寇春蕊</w:t>
      </w:r>
    </w:p>
    <w:p>
      <w:pPr>
        <w:spacing w:line="520" w:lineRule="exact"/>
        <w:ind w:firstLine="630"/>
        <w:jc w:val="right"/>
        <w:rPr>
          <w:rFonts w:hint="eastAsia"/>
        </w:rPr>
      </w:pPr>
      <w:r>
        <w:rPr>
          <w:rFonts w:hint="eastAsia"/>
        </w:rPr>
        <w:t>人民陪审员     白玉斌</w:t>
      </w:r>
    </w:p>
    <w:p>
      <w:pPr>
        <w:spacing w:line="520" w:lineRule="exact"/>
        <w:ind w:firstLine="630"/>
        <w:jc w:val="right"/>
        <w:rPr>
          <w:rFonts w:hint="eastAsia"/>
        </w:rPr>
      </w:pPr>
      <w:r>
        <w:rPr>
          <w:rFonts w:hint="eastAsia"/>
        </w:rPr>
        <w:t>人民陪审员     刘素荣</w:t>
      </w:r>
    </w:p>
    <w:p>
      <w:pPr>
        <w:spacing w:line="520" w:lineRule="exact"/>
        <w:ind w:firstLine="630"/>
        <w:jc w:val="right"/>
      </w:pPr>
    </w:p>
    <w:p>
      <w:pPr>
        <w:spacing w:line="520" w:lineRule="exact"/>
        <w:ind w:firstLine="630"/>
        <w:jc w:val="right"/>
      </w:pPr>
      <w:r>
        <w:t>二O一</w:t>
      </w:r>
      <w:r>
        <w:rPr>
          <w:rFonts w:hint="eastAsia"/>
        </w:rPr>
        <w:t>四</w:t>
      </w:r>
      <w:r>
        <w:t>年</w:t>
      </w:r>
      <w:r>
        <w:rPr>
          <w:rFonts w:hint="eastAsia"/>
        </w:rPr>
        <w:t>三</w:t>
      </w:r>
      <w:r>
        <w:t>月</w:t>
      </w:r>
      <w:r>
        <w:rPr>
          <w:rFonts w:hint="eastAsia"/>
        </w:rPr>
        <w:t>二十</w:t>
      </w:r>
      <w:r>
        <w:t>日</w:t>
      </w:r>
    </w:p>
    <w:p>
      <w:pPr>
        <w:spacing w:line="520" w:lineRule="exact"/>
        <w:ind w:firstLine="630"/>
        <w:jc w:val="right"/>
      </w:pPr>
    </w:p>
    <w:p>
      <w:pPr>
        <w:spacing w:line="520" w:lineRule="exact"/>
        <w:ind w:firstLine="630"/>
        <w:jc w:val="right"/>
      </w:pPr>
    </w:p>
    <w:p>
      <w:pPr>
        <w:spacing w:line="520" w:lineRule="exact"/>
        <w:ind w:firstLine="630"/>
        <w:jc w:val="right"/>
        <w:rPr>
          <w:rFonts w:hint="eastAsia"/>
        </w:rPr>
      </w:pPr>
      <w:r>
        <w:t xml:space="preserve">书  记  员  </w:t>
      </w:r>
      <w:r>
        <w:rPr>
          <w:rFonts w:hint="eastAsia"/>
        </w:rPr>
        <w:t xml:space="preserve">   伊西友</w:t>
      </w:r>
    </w:p>
    <w:sectPr>
      <w:footerReference r:id="rId3" w:type="default"/>
      <w:footerReference r:id="rId4" w:type="even"/>
      <w:pgSz w:w="11907" w:h="16840"/>
      <w:pgMar w:top="1985" w:right="1418" w:bottom="1701" w:left="1701" w:header="851" w:footer="992" w:gutter="0"/>
      <w:cols w:space="425" w:num="1"/>
      <w:docGrid w:type="linesAndChars" w:linePitch="526" w:charSpace="3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3</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9"/>
  <w:drawingGridVerticalSpacing w:val="263"/>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4A90"/>
    <w:rsid w:val="000235B1"/>
    <w:rsid w:val="00036F09"/>
    <w:rsid w:val="00055DE1"/>
    <w:rsid w:val="000565E4"/>
    <w:rsid w:val="00073B17"/>
    <w:rsid w:val="000875AB"/>
    <w:rsid w:val="000A79EA"/>
    <w:rsid w:val="000B7D77"/>
    <w:rsid w:val="000D7658"/>
    <w:rsid w:val="000E337E"/>
    <w:rsid w:val="000F5152"/>
    <w:rsid w:val="00101AC9"/>
    <w:rsid w:val="00105CC7"/>
    <w:rsid w:val="0012521C"/>
    <w:rsid w:val="00126C39"/>
    <w:rsid w:val="001561F1"/>
    <w:rsid w:val="00176BE1"/>
    <w:rsid w:val="00187B39"/>
    <w:rsid w:val="001A3ACB"/>
    <w:rsid w:val="001C5B94"/>
    <w:rsid w:val="001F13E4"/>
    <w:rsid w:val="00220564"/>
    <w:rsid w:val="0023153B"/>
    <w:rsid w:val="00242599"/>
    <w:rsid w:val="00264871"/>
    <w:rsid w:val="00290D12"/>
    <w:rsid w:val="00295680"/>
    <w:rsid w:val="002A5A00"/>
    <w:rsid w:val="002C3578"/>
    <w:rsid w:val="002D0C73"/>
    <w:rsid w:val="002E38CC"/>
    <w:rsid w:val="00314EA3"/>
    <w:rsid w:val="00386910"/>
    <w:rsid w:val="003921EC"/>
    <w:rsid w:val="0039750F"/>
    <w:rsid w:val="003C15FA"/>
    <w:rsid w:val="003D361A"/>
    <w:rsid w:val="003D389B"/>
    <w:rsid w:val="004102FA"/>
    <w:rsid w:val="0042645B"/>
    <w:rsid w:val="00436A9C"/>
    <w:rsid w:val="0044117E"/>
    <w:rsid w:val="004A4F42"/>
    <w:rsid w:val="004D4AFC"/>
    <w:rsid w:val="004E1CC1"/>
    <w:rsid w:val="005003E2"/>
    <w:rsid w:val="00514A58"/>
    <w:rsid w:val="00562954"/>
    <w:rsid w:val="00574AEE"/>
    <w:rsid w:val="00586471"/>
    <w:rsid w:val="005A23A8"/>
    <w:rsid w:val="005A23E5"/>
    <w:rsid w:val="005A74E3"/>
    <w:rsid w:val="005F3102"/>
    <w:rsid w:val="005F52D0"/>
    <w:rsid w:val="00604922"/>
    <w:rsid w:val="00606E88"/>
    <w:rsid w:val="00617647"/>
    <w:rsid w:val="006230B5"/>
    <w:rsid w:val="00630CBD"/>
    <w:rsid w:val="00656B63"/>
    <w:rsid w:val="006A582A"/>
    <w:rsid w:val="006D04DB"/>
    <w:rsid w:val="006D3B0E"/>
    <w:rsid w:val="00704322"/>
    <w:rsid w:val="00710F0F"/>
    <w:rsid w:val="0071315F"/>
    <w:rsid w:val="00715A48"/>
    <w:rsid w:val="00716895"/>
    <w:rsid w:val="00754C0F"/>
    <w:rsid w:val="00773372"/>
    <w:rsid w:val="00786ED7"/>
    <w:rsid w:val="007B2BA6"/>
    <w:rsid w:val="007B7187"/>
    <w:rsid w:val="007E4B98"/>
    <w:rsid w:val="007F1D62"/>
    <w:rsid w:val="00820DB3"/>
    <w:rsid w:val="00830A2A"/>
    <w:rsid w:val="008310D2"/>
    <w:rsid w:val="0083540F"/>
    <w:rsid w:val="00856AF3"/>
    <w:rsid w:val="0086274F"/>
    <w:rsid w:val="00896DB3"/>
    <w:rsid w:val="008A5939"/>
    <w:rsid w:val="008B63D4"/>
    <w:rsid w:val="008C2325"/>
    <w:rsid w:val="008E6732"/>
    <w:rsid w:val="00906CD7"/>
    <w:rsid w:val="009500B5"/>
    <w:rsid w:val="00956C7B"/>
    <w:rsid w:val="00992640"/>
    <w:rsid w:val="009B5958"/>
    <w:rsid w:val="009C0CBC"/>
    <w:rsid w:val="009C67B0"/>
    <w:rsid w:val="009F5D74"/>
    <w:rsid w:val="00A033A5"/>
    <w:rsid w:val="00A1007A"/>
    <w:rsid w:val="00A12B97"/>
    <w:rsid w:val="00A2558E"/>
    <w:rsid w:val="00A42888"/>
    <w:rsid w:val="00A45356"/>
    <w:rsid w:val="00A87635"/>
    <w:rsid w:val="00A915D3"/>
    <w:rsid w:val="00AB3A42"/>
    <w:rsid w:val="00AB4A90"/>
    <w:rsid w:val="00AF3CE7"/>
    <w:rsid w:val="00B15737"/>
    <w:rsid w:val="00B301E3"/>
    <w:rsid w:val="00B9731D"/>
    <w:rsid w:val="00BA2F8F"/>
    <w:rsid w:val="00BC7137"/>
    <w:rsid w:val="00BF4FA3"/>
    <w:rsid w:val="00C26CE7"/>
    <w:rsid w:val="00C2764A"/>
    <w:rsid w:val="00C45244"/>
    <w:rsid w:val="00C53F0E"/>
    <w:rsid w:val="00C65AE6"/>
    <w:rsid w:val="00C723BD"/>
    <w:rsid w:val="00C779B3"/>
    <w:rsid w:val="00C932C0"/>
    <w:rsid w:val="00C97F30"/>
    <w:rsid w:val="00CB3C5C"/>
    <w:rsid w:val="00CB75BC"/>
    <w:rsid w:val="00CC07D1"/>
    <w:rsid w:val="00CC1B59"/>
    <w:rsid w:val="00CD7813"/>
    <w:rsid w:val="00CE68E5"/>
    <w:rsid w:val="00CF3582"/>
    <w:rsid w:val="00D41A9C"/>
    <w:rsid w:val="00D63279"/>
    <w:rsid w:val="00D64AC2"/>
    <w:rsid w:val="00D866A0"/>
    <w:rsid w:val="00D901B1"/>
    <w:rsid w:val="00DB7592"/>
    <w:rsid w:val="00DD3C15"/>
    <w:rsid w:val="00E01DE2"/>
    <w:rsid w:val="00E13B08"/>
    <w:rsid w:val="00E323A9"/>
    <w:rsid w:val="00E4495E"/>
    <w:rsid w:val="00E57EDD"/>
    <w:rsid w:val="00E65197"/>
    <w:rsid w:val="00EF08DA"/>
    <w:rsid w:val="00EF2728"/>
    <w:rsid w:val="00EF406A"/>
    <w:rsid w:val="00F24CDA"/>
    <w:rsid w:val="00F37D47"/>
    <w:rsid w:val="00F5480D"/>
    <w:rsid w:val="00F75658"/>
    <w:rsid w:val="00F77519"/>
    <w:rsid w:val="00FB3CA6"/>
    <w:rsid w:val="00FC1222"/>
    <w:rsid w:val="00FF2BF8"/>
    <w:rsid w:val="28DF6C16"/>
    <w:rsid w:val="328A5EBB"/>
    <w:rsid w:val="34A550DC"/>
    <w:rsid w:val="550F1C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3">
    <w:name w:val="Default Paragraph Font"/>
    <w:link w:val="4"/>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customStyle="1" w:styleId="4">
    <w:name w:val="Char"/>
    <w:basedOn w:val="1"/>
    <w:link w:val="3"/>
    <w:qFormat/>
    <w:uiPriority w:val="0"/>
    <w:pPr>
      <w:widowControl/>
      <w:spacing w:after="160" w:line="240" w:lineRule="exact"/>
      <w:jc w:val="left"/>
    </w:pPr>
    <w:rPr>
      <w:rFonts w:ascii="Verdana" w:hAnsi="Verdana"/>
      <w:kern w:val="0"/>
      <w:sz w:val="24"/>
      <w:szCs w:val="20"/>
      <w:lang w:eastAsia="en-US"/>
    </w:rPr>
  </w:style>
  <w:style w:type="character" w:styleId="5">
    <w:name w:val="page numbe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12</Company>
  <Pages>1</Pages>
  <Words>193</Words>
  <Characters>1105</Characters>
  <Lines>9</Lines>
  <Paragraphs>2</Paragraphs>
  <TotalTime>0</TotalTime>
  <ScaleCrop>false</ScaleCrop>
  <LinksUpToDate>false</LinksUpToDate>
  <CharactersWithSpaces>1296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2014-03-11T07:57:00Z</dcterms:created>
  <dc:creator>AA</dc:creator>
  <cp:lastModifiedBy>TF-PC</cp:lastModifiedBy>
  <cp:lastPrinted>2006-01-18T00:35:00Z</cp:lastPrinted>
  <dcterms:modified xsi:type="dcterms:W3CDTF">2018-08-27T09:40:12Z</dcterms:modified>
  <dc:title>天津市西青区人民法院</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