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32"/>
        </w:rPr>
      </w:pPr>
      <w:bookmarkStart w:id="0" w:name="_GoBack"/>
      <w:bookmarkEnd w:id="0"/>
    </w:p>
    <w:p>
      <w:pPr>
        <w:pStyle w:val="7"/>
        <w:rPr>
          <w:sz w:val="32"/>
        </w:rPr>
      </w:pPr>
    </w:p>
    <w:p>
      <w:pPr>
        <w:pStyle w:val="7"/>
        <w:rPr>
          <w:rFonts w:hint="eastAsia"/>
        </w:rPr>
      </w:pPr>
      <w:r>
        <w:rPr>
          <w:rFonts w:hint="eastAsia"/>
        </w:rPr>
        <w:t>天津市宁河区人民法院</w:t>
      </w:r>
    </w:p>
    <w:p>
      <w:pPr>
        <w:pStyle w:val="8"/>
        <w:rPr>
          <w:rFonts w:hint="eastAsia"/>
        </w:rPr>
      </w:pPr>
      <w:r>
        <w:rPr>
          <w:rFonts w:hint="eastAsia"/>
        </w:rPr>
        <w:t>刑事判决书</w:t>
      </w:r>
    </w:p>
    <w:p>
      <w:pPr>
        <w:pStyle w:val="9"/>
        <w:ind w:right="632"/>
      </w:pPr>
    </w:p>
    <w:p>
      <w:pPr>
        <w:pStyle w:val="9"/>
        <w:ind w:right="632"/>
        <w:rPr>
          <w:rFonts w:hint="eastAsia"/>
        </w:rPr>
      </w:pPr>
      <w:r>
        <w:rPr>
          <w:rFonts w:hint="eastAsia"/>
        </w:rPr>
        <w:t xml:space="preserve"> (2018)津0117刑初210号</w:t>
      </w:r>
    </w:p>
    <w:p/>
    <w:p>
      <w:pPr>
        <w:pStyle w:val="10"/>
        <w:ind w:firstLine="632"/>
        <w:rPr>
          <w:rFonts w:hint="eastAsia"/>
        </w:rPr>
      </w:pPr>
      <w:r>
        <w:rPr>
          <w:rFonts w:hint="eastAsia"/>
        </w:rPr>
        <w:t>公诉机关天津市宁河区人民检察院。</w:t>
      </w:r>
    </w:p>
    <w:p>
      <w:pPr>
        <w:pStyle w:val="11"/>
        <w:ind w:firstLine="632"/>
        <w:rPr>
          <w:rFonts w:hint="eastAsia"/>
        </w:rPr>
      </w:pPr>
      <w:r>
        <w:rPr>
          <w:rFonts w:hint="eastAsia"/>
        </w:rPr>
        <w:t>被告人马峰，男，1971年1月9日出生，公民身份号码120221197101091514，汉族，初中文化，无业，住河北省廊坊市广阳区御泉湾小区5号楼1单元1202（户籍地为天津市宁河区东棘坨镇大从庄村一区9排2号）。2017年9月15日因涉嫌信用卡诈骗罪被天津市公安局宁河分局刑事拘留，同年9月22日被天津市公安局宁河分局取保候审。2018年4月27日经本院决定取保候审。现在居住地候审。</w:t>
      </w:r>
    </w:p>
    <w:p>
      <w:pPr>
        <w:pStyle w:val="11"/>
        <w:ind w:firstLine="632"/>
        <w:rPr>
          <w:rFonts w:hint="eastAsia"/>
        </w:rPr>
      </w:pPr>
      <w:r>
        <w:rPr>
          <w:rFonts w:hint="eastAsia"/>
        </w:rPr>
        <w:t>天津市宁河区人民检察院以津宁检公诉刑诉[2018]206号起诉书指控被告人马峰犯信用卡诈骗罪。本院依法适用刑事案件速裁程序，公开开庭审理了本案。</w:t>
      </w:r>
    </w:p>
    <w:p>
      <w:pPr>
        <w:pStyle w:val="11"/>
        <w:ind w:firstLine="632"/>
        <w:rPr>
          <w:rFonts w:hint="eastAsia"/>
        </w:rPr>
      </w:pPr>
      <w:r>
        <w:rPr>
          <w:rFonts w:hint="eastAsia"/>
        </w:rPr>
        <w:t>经刑事速裁程序审理查明，2011年8月30日，被告人马峰用本人的身份信息等资料在中国农业银行宁河支行办理卡号为4637580003650623的信用卡一张，后马峰持此卡透支钱款用于日常开销和生意经营。2015年6月17日被告人马峰最后一次还款后未再还款，经银行多次催缴后仍未还款。截止2017年10月9日，被告人马峰持该卡欠银行本金人民币55335.4元。</w:t>
      </w:r>
    </w:p>
    <w:p>
      <w:pPr>
        <w:pStyle w:val="11"/>
        <w:ind w:firstLine="632"/>
        <w:rPr>
          <w:rFonts w:hint="eastAsia"/>
        </w:rPr>
      </w:pPr>
      <w:r>
        <w:rPr>
          <w:rFonts w:hint="eastAsia"/>
        </w:rPr>
        <w:t>2017年9月15日，被告人马峰被公安机关抓获。案发后，被告人马峰的家属向银行付清全部欠款。</w:t>
      </w:r>
    </w:p>
    <w:p>
      <w:pPr>
        <w:pStyle w:val="11"/>
        <w:ind w:firstLine="632"/>
        <w:rPr>
          <w:rFonts w:hint="eastAsia"/>
        </w:rPr>
      </w:pPr>
      <w:r>
        <w:rPr>
          <w:rFonts w:hint="eastAsia"/>
        </w:rPr>
        <w:t>上述事实，有案件来源、到案经过、证人证言、被告人供述和辩解、举报材料、中国农业银行信用卡申请表等信用卡办理资料、账户催收基本资料、催收账户交易历史记录、催收账户催收历史记录、中国农业银行还款凭证、还款说明、居民信息表、情况说明、认罪认罚具结书等证据证实，足以认定。</w:t>
      </w:r>
    </w:p>
    <w:p>
      <w:pPr>
        <w:pStyle w:val="11"/>
        <w:ind w:firstLine="632"/>
        <w:rPr>
          <w:rFonts w:hint="eastAsia"/>
        </w:rPr>
      </w:pPr>
      <w:r>
        <w:rPr>
          <w:rFonts w:hint="eastAsia"/>
        </w:rPr>
        <w:t>本院认为，被告人马峰进行信用卡诈骗活动，恶意透支，数额较大，应当以信用卡诈骗罪追究其刑事责任。公诉机关指控被告人马峰犯信用卡诈骗罪事实清楚，证据确实、充分，罪名成立。被告人马峰到案以后如实供述自己的罪行，具有坦白情节，并认罪认罚，可以从轻处罚。依照《中华人民共和国刑法》第一百九十六条第一款（四）项、第六十七条第三款、第七十二条第一款、第七十六条的规定，判决如下：</w:t>
      </w:r>
    </w:p>
    <w:p>
      <w:pPr>
        <w:pStyle w:val="11"/>
        <w:ind w:firstLine="632"/>
        <w:rPr>
          <w:rFonts w:hint="eastAsia"/>
        </w:rPr>
      </w:pPr>
      <w:r>
        <w:rPr>
          <w:rFonts w:hint="eastAsia"/>
        </w:rPr>
        <w:t>被告人马峰犯信用卡诈骗罪，判处有期徒刑二年，缓刑三年，并处罚金15000元（缓刑考验期自判决确定之日起计算，对宣告缓刑的犯罪分子，在缓刑考验期限内，依法实行社区矫正）。</w:t>
      </w:r>
    </w:p>
    <w:p>
      <w:pPr>
        <w:pStyle w:val="11"/>
        <w:ind w:firstLine="632"/>
        <w:rPr>
          <w:rFonts w:hint="eastAsia"/>
        </w:rPr>
      </w:pPr>
      <w:r>
        <w:rPr>
          <w:rFonts w:hint="eastAsia"/>
        </w:rPr>
        <w:t>上述罚金于本判决生效后十日内给付。</w:t>
      </w:r>
    </w:p>
    <w:p>
      <w:pPr>
        <w:pStyle w:val="12"/>
        <w:ind w:firstLine="632"/>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
    <w:p>
      <w:pPr>
        <w:pStyle w:val="13"/>
        <w:ind w:right="632"/>
        <w:rPr>
          <w:rFonts w:hint="eastAsia"/>
        </w:rPr>
      </w:pPr>
      <w:r>
        <w:rPr>
          <w:rFonts w:hint="eastAsia"/>
        </w:rPr>
        <w:t>审　　判　　员　　　张妮娜</w:t>
      </w:r>
    </w:p>
    <w:p>
      <w:pPr>
        <w:pStyle w:val="14"/>
        <w:ind w:right="632"/>
      </w:pPr>
    </w:p>
    <w:p>
      <w:pPr>
        <w:pStyle w:val="14"/>
        <w:ind w:right="632"/>
      </w:pPr>
    </w:p>
    <w:p>
      <w:pPr>
        <w:pStyle w:val="14"/>
        <w:ind w:right="632"/>
      </w:pPr>
    </w:p>
    <w:p>
      <w:pPr>
        <w:pStyle w:val="14"/>
        <w:ind w:right="632"/>
      </w:pPr>
    </w:p>
    <w:p>
      <w:pPr>
        <w:pStyle w:val="14"/>
        <w:ind w:right="632"/>
        <w:rPr>
          <w:rFonts w:hint="eastAsia"/>
        </w:rPr>
      </w:pPr>
      <w:r>
        <w:rPr>
          <w:rFonts w:hint="eastAsia"/>
        </w:rPr>
        <w:t>二</w:t>
      </w:r>
      <w:r>
        <w:rPr>
          <w:rFonts w:hint="eastAsia" w:ascii="宋体" w:hAnsi="宋体" w:eastAsia="宋体" w:cs="宋体"/>
        </w:rPr>
        <w:t>〇</w:t>
      </w:r>
      <w:r>
        <w:rPr>
          <w:rFonts w:hint="eastAsia"/>
        </w:rPr>
        <w:t>一八年五月十四日</w:t>
      </w:r>
    </w:p>
    <w:p/>
    <w:p>
      <w:pPr>
        <w:pStyle w:val="15"/>
        <w:ind w:right="632"/>
        <w:rPr>
          <w:rFonts w:hint="eastAsia"/>
        </w:rPr>
      </w:pPr>
      <w:r>
        <w:rPr>
          <w:rFonts w:hint="eastAsia"/>
        </w:rPr>
        <w:t>书　　记　　员　　　李丹丹</w:t>
      </w:r>
    </w:p>
    <w:p>
      <w:pPr>
        <w:pStyle w:val="16"/>
        <w:ind w:firstLine="632"/>
        <w:rPr>
          <w:rFonts w:hint="eastAsia"/>
        </w:rPr>
      </w:pPr>
      <w:r>
        <w:rPr>
          <w:rFonts w:hint="eastAsia"/>
        </w:rPr>
        <w:t>附本裁判文书依据的相关法律条文：</w:t>
      </w:r>
    </w:p>
    <w:p>
      <w:pPr>
        <w:pStyle w:val="17"/>
        <w:ind w:firstLine="632"/>
        <w:rPr>
          <w:rFonts w:hint="eastAsia"/>
        </w:rPr>
      </w:pPr>
      <w:r>
        <w:rPr>
          <w:rFonts w:hint="eastAsia"/>
        </w:rPr>
        <w:t>《中华人民共和国刑法》</w:t>
      </w:r>
    </w:p>
    <w:p>
      <w:pPr>
        <w:pStyle w:val="18"/>
        <w:ind w:firstLine="632"/>
        <w:rPr>
          <w:rFonts w:hint="eastAsia"/>
        </w:rPr>
      </w:pPr>
      <w:r>
        <w:rPr>
          <w:rFonts w:hint="eastAsia"/>
        </w:rPr>
        <w:t xml:space="preserve">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rPr>
        <w:br w:type="textWrapping"/>
      </w:r>
      <w:r>
        <w:rPr>
          <w:rFonts w:hint="eastAsia"/>
        </w:rPr>
        <w:t xml:space="preserve">　　(一)使用伪造的信用卡，或者使用以虚假的身份证明骗领的信用卡的； </w:t>
      </w:r>
      <w:r>
        <w:rPr>
          <w:rFonts w:hint="eastAsia"/>
        </w:rPr>
        <w:br w:type="textWrapping"/>
      </w:r>
      <w:r>
        <w:rPr>
          <w:rFonts w:hint="eastAsia"/>
        </w:rPr>
        <w:t xml:space="preserve">　　(二)使用作废的信用卡的； </w:t>
      </w:r>
      <w:r>
        <w:rPr>
          <w:rFonts w:hint="eastAsia"/>
        </w:rPr>
        <w:br w:type="textWrapping"/>
      </w:r>
      <w:r>
        <w:rPr>
          <w:rFonts w:hint="eastAsia"/>
        </w:rPr>
        <w:t xml:space="preserve">　　(三)冒用他人信用卡的； </w:t>
      </w:r>
      <w:r>
        <w:rPr>
          <w:rFonts w:hint="eastAsia"/>
        </w:rPr>
        <w:br w:type="textWrapping"/>
      </w:r>
      <w:r>
        <w:rPr>
          <w:rFonts w:hint="eastAsia"/>
        </w:rPr>
        <w:t xml:space="preserve">　　(四)恶意透支的。 </w:t>
      </w:r>
      <w:r>
        <w:rPr>
          <w:rFonts w:hint="eastAsia"/>
        </w:rPr>
        <w:br w:type="textWrapping"/>
      </w:r>
      <w:r>
        <w:rPr>
          <w:rFonts w:hint="eastAsia"/>
        </w:rPr>
        <w:t>　　前款所称恶意透支，是指持卡人以非法占有为目的，超过规定限额或者规定期限透支，并且经发卡银行催收后仍不归还的行为。</w:t>
      </w:r>
      <w:r>
        <w:rPr>
          <w:rFonts w:hint="eastAsia" w:hAnsi="宋体" w:cs="宋体"/>
          <w:color w:val="333333"/>
          <w:sz w:val="24"/>
          <w:szCs w:val="24"/>
        </w:rPr>
        <w:t xml:space="preserve"> </w:t>
      </w:r>
      <w:r>
        <w:rPr>
          <w:rFonts w:hint="eastAsia" w:hAnsi="宋体" w:cs="宋体"/>
          <w:color w:val="333333"/>
          <w:sz w:val="24"/>
          <w:szCs w:val="24"/>
        </w:rPr>
        <w:br w:type="textWrapping"/>
      </w:r>
      <w:r>
        <w:rPr>
          <w:rFonts w:hint="eastAsia"/>
        </w:rPr>
        <w:t xml:space="preserve">    第六十七条犯罪以后自动投案，如实供述自己的罪行的，是自首。对于自首的犯罪分子，可以从轻或者减轻处罚。其中，犯罪较轻的，可以免除处罚。</w:t>
      </w:r>
    </w:p>
    <w:p>
      <w:pPr>
        <w:pStyle w:val="18"/>
        <w:ind w:firstLine="632"/>
        <w:rPr>
          <w:rFonts w:hint="eastAsia"/>
        </w:rPr>
      </w:pPr>
      <w:r>
        <w:rPr>
          <w:rFonts w:hint="eastAsia"/>
        </w:rPr>
        <w:t>被采取强制措施的犯罪嫌疑人、被告人和正在服刑的罪犯，如实供述司法机关还未掌握的本人其他罪行的，以自首论。</w:t>
      </w:r>
    </w:p>
    <w:p>
      <w:pPr>
        <w:pStyle w:val="18"/>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18"/>
        <w:ind w:firstLine="632"/>
        <w:rPr>
          <w:rFonts w:hint="eastAsia"/>
        </w:rPr>
      </w:pPr>
      <w:r>
        <w:rPr>
          <w:rFonts w:hint="eastAsia"/>
        </w:rPr>
        <w:t>第七十二条对于被判处拘役、三年以下有期徒刑的犯罪分子，根据犯罪分子的犯罪情节和悔罪表现，适用缓刑确实不致再危害社会的，可以宣告缓刑。</w:t>
      </w:r>
    </w:p>
    <w:p>
      <w:pPr>
        <w:pStyle w:val="18"/>
        <w:ind w:firstLine="632"/>
        <w:rPr>
          <w:rFonts w:hint="eastAsia"/>
        </w:rPr>
      </w:pPr>
      <w:r>
        <w:rPr>
          <w:rFonts w:hint="eastAsia"/>
        </w:rPr>
        <w:t>被宣告缓刑的犯罪分子，如果被判处附加刑，附加刑仍须执行。</w:t>
      </w:r>
    </w:p>
    <w:p>
      <w:pPr>
        <w:pStyle w:val="19"/>
        <w:ind w:firstLine="632"/>
        <w:rPr>
          <w:rFonts w:hint="eastAsia"/>
        </w:rPr>
      </w:pPr>
      <w:r>
        <w:rPr>
          <w:rFonts w:hint="eastAsia"/>
        </w:rPr>
        <w:t>第七十六条被宣告缓刑的犯罪分子，在缓刑考验期限内，由公安机关考察，所在单位或者基层组织予以配合，如果没有本法第七十七条规定的情形，缓刑考验期满，原判的刑罚就不再执行，并公开予以宣告。</w:t>
      </w:r>
    </w:p>
    <w:p>
      <w:pPr>
        <w:rPr>
          <w:rFonts w:hint="eastAsia"/>
        </w:rPr>
      </w:pPr>
    </w:p>
    <w:sectPr>
      <w:footerReference r:id="rId3" w:type="default"/>
      <w:footerReference r:id="rId4" w:type="even"/>
      <w:pgSz w:w="11906" w:h="16838"/>
      <w:pgMar w:top="2040" w:right="1530" w:bottom="2040" w:left="1530" w:header="794" w:footer="1644" w:gutter="0"/>
      <w:pgNumType w:fmt="numberInDash" w:start="1"/>
      <w:cols w:space="720" w:num="1"/>
      <w:titlePg/>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- 3 -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- 4 -</w:t>
    </w:r>
    <w:r>
      <w:rPr>
        <w:rStyle w:val="5"/>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1D22EFB"/>
    <w:rsid w:val="0000018E"/>
    <w:rsid w:val="00042A1F"/>
    <w:rsid w:val="000A1CFB"/>
    <w:rsid w:val="000B2E39"/>
    <w:rsid w:val="000D0BA2"/>
    <w:rsid w:val="001050AC"/>
    <w:rsid w:val="00155E3C"/>
    <w:rsid w:val="00184AAD"/>
    <w:rsid w:val="001A03CE"/>
    <w:rsid w:val="001D2BD0"/>
    <w:rsid w:val="00200539"/>
    <w:rsid w:val="002359C4"/>
    <w:rsid w:val="002401DE"/>
    <w:rsid w:val="002668E9"/>
    <w:rsid w:val="00270A6C"/>
    <w:rsid w:val="002A2D86"/>
    <w:rsid w:val="002B547B"/>
    <w:rsid w:val="002E32CC"/>
    <w:rsid w:val="0030282D"/>
    <w:rsid w:val="00326105"/>
    <w:rsid w:val="003378AE"/>
    <w:rsid w:val="00353071"/>
    <w:rsid w:val="0035326A"/>
    <w:rsid w:val="00373654"/>
    <w:rsid w:val="003A4F9B"/>
    <w:rsid w:val="003B068B"/>
    <w:rsid w:val="003B4EA6"/>
    <w:rsid w:val="003C56E6"/>
    <w:rsid w:val="004168E9"/>
    <w:rsid w:val="0044003E"/>
    <w:rsid w:val="004474AE"/>
    <w:rsid w:val="00447F9B"/>
    <w:rsid w:val="004801C2"/>
    <w:rsid w:val="00484F39"/>
    <w:rsid w:val="004C3921"/>
    <w:rsid w:val="005304F4"/>
    <w:rsid w:val="00545EB3"/>
    <w:rsid w:val="00563DE8"/>
    <w:rsid w:val="0057591E"/>
    <w:rsid w:val="005953C0"/>
    <w:rsid w:val="00596E99"/>
    <w:rsid w:val="005A1980"/>
    <w:rsid w:val="005A6021"/>
    <w:rsid w:val="005B51F4"/>
    <w:rsid w:val="00601F9B"/>
    <w:rsid w:val="00643A3C"/>
    <w:rsid w:val="0064577C"/>
    <w:rsid w:val="006670F9"/>
    <w:rsid w:val="006D1DA9"/>
    <w:rsid w:val="006F63B6"/>
    <w:rsid w:val="0073651F"/>
    <w:rsid w:val="00792B61"/>
    <w:rsid w:val="007C6572"/>
    <w:rsid w:val="007F0072"/>
    <w:rsid w:val="00822E94"/>
    <w:rsid w:val="00854191"/>
    <w:rsid w:val="00857E0E"/>
    <w:rsid w:val="009312EC"/>
    <w:rsid w:val="009319A5"/>
    <w:rsid w:val="00954270"/>
    <w:rsid w:val="00961D43"/>
    <w:rsid w:val="00966F34"/>
    <w:rsid w:val="00994494"/>
    <w:rsid w:val="009D6C11"/>
    <w:rsid w:val="00A0465C"/>
    <w:rsid w:val="00A506FF"/>
    <w:rsid w:val="00A67E8A"/>
    <w:rsid w:val="00A855C5"/>
    <w:rsid w:val="00AB1848"/>
    <w:rsid w:val="00AC492C"/>
    <w:rsid w:val="00AD70EA"/>
    <w:rsid w:val="00AE42CB"/>
    <w:rsid w:val="00AE78B7"/>
    <w:rsid w:val="00B05194"/>
    <w:rsid w:val="00B41686"/>
    <w:rsid w:val="00B46D63"/>
    <w:rsid w:val="00B62493"/>
    <w:rsid w:val="00BA1BD7"/>
    <w:rsid w:val="00BA654C"/>
    <w:rsid w:val="00BA7C18"/>
    <w:rsid w:val="00BB67E0"/>
    <w:rsid w:val="00C04200"/>
    <w:rsid w:val="00C22AE2"/>
    <w:rsid w:val="00C231F3"/>
    <w:rsid w:val="00C72D74"/>
    <w:rsid w:val="00C935A8"/>
    <w:rsid w:val="00CB4F34"/>
    <w:rsid w:val="00CD1E74"/>
    <w:rsid w:val="00D07283"/>
    <w:rsid w:val="00D1432C"/>
    <w:rsid w:val="00D17F7C"/>
    <w:rsid w:val="00D23C19"/>
    <w:rsid w:val="00DE4E7C"/>
    <w:rsid w:val="00E20374"/>
    <w:rsid w:val="00E542D4"/>
    <w:rsid w:val="00E65DBC"/>
    <w:rsid w:val="00E77C35"/>
    <w:rsid w:val="00EA59ED"/>
    <w:rsid w:val="00ED6504"/>
    <w:rsid w:val="00EE6331"/>
    <w:rsid w:val="00EF2FD6"/>
    <w:rsid w:val="00F440DD"/>
    <w:rsid w:val="00F639DE"/>
    <w:rsid w:val="00FA2D81"/>
    <w:rsid w:val="00FA4B17"/>
    <w:rsid w:val="00FA6215"/>
    <w:rsid w:val="00FD622E"/>
    <w:rsid w:val="00FF6DA9"/>
    <w:rsid w:val="1175109B"/>
    <w:rsid w:val="1FCE5A16"/>
    <w:rsid w:val="24330AB9"/>
    <w:rsid w:val="31D22EFB"/>
    <w:rsid w:val="366A335C"/>
    <w:rsid w:val="3CB75295"/>
    <w:rsid w:val="513335DC"/>
    <w:rsid w:val="52B92459"/>
    <w:rsid w:val="65916880"/>
    <w:rsid w:val="7E057A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MS Sans Serif" w:eastAsia="仿宋_GB2312" w:cs="Times New Roman"/>
      <w:sz w:val="32"/>
      <w:szCs w:val="3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tcPr>
      <w:textDirection w:val="tbRlV"/>
    </w:tcPr>
  </w:style>
  <w:style w:type="paragraph" w:styleId="2">
    <w:name w:val="footer"/>
    <w:basedOn w:val="1"/>
    <w:link w:val="21"/>
    <w:qFormat/>
    <w:uiPriority w:val="0"/>
    <w:pPr>
      <w:tabs>
        <w:tab w:val="center" w:pos="4153"/>
        <w:tab w:val="right" w:pos="8306"/>
      </w:tabs>
      <w:snapToGrid w:val="0"/>
      <w:jc w:val="left"/>
    </w:pPr>
    <w:rPr>
      <w:sz w:val="18"/>
      <w:szCs w:val="18"/>
    </w:rPr>
  </w:style>
  <w:style w:type="paragraph" w:styleId="3">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paragraph" w:customStyle="1" w:styleId="7">
    <w:name w:val="lawyeeCourtName1"/>
    <w:basedOn w:val="1"/>
    <w:link w:val="22"/>
    <w:qFormat/>
    <w:uiPriority w:val="0"/>
    <w:pPr>
      <w:spacing w:line="720" w:lineRule="exact"/>
      <w:jc w:val="center"/>
    </w:pPr>
    <w:rPr>
      <w:rFonts w:ascii="方正小标宋_GBK" w:eastAsia="方正小标宋_GBK"/>
      <w:kern w:val="2"/>
      <w:sz w:val="44"/>
    </w:rPr>
  </w:style>
  <w:style w:type="paragraph" w:customStyle="1" w:styleId="8">
    <w:name w:val="lawyeeWritName1"/>
    <w:basedOn w:val="1"/>
    <w:link w:val="23"/>
    <w:qFormat/>
    <w:uiPriority w:val="0"/>
    <w:pPr>
      <w:spacing w:line="720" w:lineRule="exact"/>
      <w:jc w:val="center"/>
    </w:pPr>
    <w:rPr>
      <w:rFonts w:ascii="方正小标宋_GBK" w:eastAsia="方正小标宋_GBK"/>
      <w:kern w:val="2"/>
      <w:sz w:val="44"/>
    </w:rPr>
  </w:style>
  <w:style w:type="paragraph" w:customStyle="1" w:styleId="9">
    <w:name w:val="lawyeeCaseNum1"/>
    <w:basedOn w:val="1"/>
    <w:link w:val="24"/>
    <w:qFormat/>
    <w:uiPriority w:val="0"/>
    <w:pPr>
      <w:ind w:rightChars="200"/>
      <w:jc w:val="right"/>
    </w:pPr>
    <w:rPr>
      <w:kern w:val="2"/>
    </w:rPr>
  </w:style>
  <w:style w:type="paragraph" w:customStyle="1" w:styleId="10">
    <w:name w:val="lawyeeWritContent1"/>
    <w:basedOn w:val="1"/>
    <w:link w:val="25"/>
    <w:qFormat/>
    <w:uiPriority w:val="0"/>
    <w:pPr>
      <w:ind w:firstLineChars="200"/>
    </w:pPr>
    <w:rPr>
      <w:kern w:val="2"/>
    </w:rPr>
  </w:style>
  <w:style w:type="paragraph" w:customStyle="1" w:styleId="11">
    <w:name w:val="lawyeeWritContent0"/>
    <w:basedOn w:val="1"/>
    <w:link w:val="26"/>
    <w:qFormat/>
    <w:uiPriority w:val="0"/>
    <w:pPr>
      <w:ind w:firstLineChars="200"/>
    </w:pPr>
    <w:rPr>
      <w:kern w:val="2"/>
    </w:rPr>
  </w:style>
  <w:style w:type="paragraph" w:customStyle="1" w:styleId="12">
    <w:name w:val="lawyeeWritContent2"/>
    <w:basedOn w:val="1"/>
    <w:link w:val="27"/>
    <w:qFormat/>
    <w:uiPriority w:val="0"/>
    <w:pPr>
      <w:ind w:firstLineChars="200"/>
    </w:pPr>
    <w:rPr>
      <w:kern w:val="2"/>
    </w:rPr>
  </w:style>
  <w:style w:type="paragraph" w:customStyle="1" w:styleId="13">
    <w:name w:val="lawyeeJudge1"/>
    <w:basedOn w:val="1"/>
    <w:link w:val="28"/>
    <w:qFormat/>
    <w:uiPriority w:val="0"/>
    <w:pPr>
      <w:spacing w:line="520" w:lineRule="exact"/>
      <w:ind w:rightChars="200"/>
      <w:jc w:val="right"/>
    </w:pPr>
    <w:rPr>
      <w:kern w:val="2"/>
    </w:rPr>
  </w:style>
  <w:style w:type="paragraph" w:customStyle="1" w:styleId="14">
    <w:name w:val="lawyeeDate1"/>
    <w:basedOn w:val="1"/>
    <w:link w:val="29"/>
    <w:qFormat/>
    <w:uiPriority w:val="0"/>
    <w:pPr>
      <w:ind w:rightChars="200"/>
      <w:jc w:val="right"/>
    </w:pPr>
    <w:rPr>
      <w:kern w:val="2"/>
    </w:rPr>
  </w:style>
  <w:style w:type="paragraph" w:customStyle="1" w:styleId="15">
    <w:name w:val="lawyeeJudge2"/>
    <w:basedOn w:val="1"/>
    <w:link w:val="30"/>
    <w:qFormat/>
    <w:uiPriority w:val="0"/>
    <w:pPr>
      <w:spacing w:line="520" w:lineRule="exact"/>
      <w:ind w:rightChars="200"/>
      <w:jc w:val="right"/>
    </w:pPr>
    <w:rPr>
      <w:kern w:val="2"/>
    </w:rPr>
  </w:style>
  <w:style w:type="paragraph" w:customStyle="1" w:styleId="16">
    <w:name w:val="lawyeeAttach1"/>
    <w:basedOn w:val="1"/>
    <w:link w:val="31"/>
    <w:qFormat/>
    <w:uiPriority w:val="0"/>
    <w:pPr>
      <w:spacing w:line="520" w:lineRule="exact"/>
      <w:ind w:firstLineChars="200"/>
      <w:jc w:val="left"/>
    </w:pPr>
    <w:rPr>
      <w:kern w:val="2"/>
    </w:rPr>
  </w:style>
  <w:style w:type="paragraph" w:customStyle="1" w:styleId="17">
    <w:name w:val="lawyeeAttachContent1"/>
    <w:basedOn w:val="1"/>
    <w:link w:val="32"/>
    <w:qFormat/>
    <w:uiPriority w:val="0"/>
    <w:pPr>
      <w:spacing w:line="520" w:lineRule="exact"/>
      <w:ind w:firstLineChars="200"/>
      <w:jc w:val="left"/>
    </w:pPr>
    <w:rPr>
      <w:kern w:val="2"/>
    </w:rPr>
  </w:style>
  <w:style w:type="paragraph" w:customStyle="1" w:styleId="18">
    <w:name w:val="lawyeeAttachContent0"/>
    <w:basedOn w:val="1"/>
    <w:link w:val="33"/>
    <w:qFormat/>
    <w:uiPriority w:val="0"/>
    <w:pPr>
      <w:spacing w:line="520" w:lineRule="exact"/>
      <w:ind w:firstLineChars="200"/>
      <w:jc w:val="left"/>
    </w:pPr>
    <w:rPr>
      <w:kern w:val="2"/>
    </w:rPr>
  </w:style>
  <w:style w:type="paragraph" w:customStyle="1" w:styleId="19">
    <w:name w:val="lawyeeAttachContent2"/>
    <w:basedOn w:val="1"/>
    <w:link w:val="34"/>
    <w:qFormat/>
    <w:uiPriority w:val="0"/>
    <w:pPr>
      <w:spacing w:line="520" w:lineRule="exact"/>
      <w:ind w:firstLineChars="200"/>
      <w:jc w:val="left"/>
    </w:pPr>
    <w:rPr>
      <w:kern w:val="2"/>
    </w:rPr>
  </w:style>
  <w:style w:type="character" w:customStyle="1" w:styleId="20">
    <w:name w:val="页眉 Char"/>
    <w:basedOn w:val="4"/>
    <w:link w:val="3"/>
    <w:qFormat/>
    <w:uiPriority w:val="0"/>
    <w:rPr>
      <w:rFonts w:ascii="仿宋_GB2312" w:hAnsi="MS Sans Serif" w:eastAsia="仿宋_GB2312"/>
      <w:sz w:val="18"/>
      <w:szCs w:val="18"/>
    </w:rPr>
  </w:style>
  <w:style w:type="character" w:customStyle="1" w:styleId="21">
    <w:name w:val="页脚 Char"/>
    <w:basedOn w:val="4"/>
    <w:link w:val="2"/>
    <w:qFormat/>
    <w:uiPriority w:val="0"/>
    <w:rPr>
      <w:rFonts w:ascii="仿宋_GB2312" w:hAnsi="MS Sans Serif" w:eastAsia="仿宋_GB2312"/>
      <w:sz w:val="18"/>
      <w:szCs w:val="18"/>
    </w:rPr>
  </w:style>
  <w:style w:type="character" w:customStyle="1" w:styleId="22">
    <w:name w:val="lawyeeCourtName1 Char"/>
    <w:basedOn w:val="4"/>
    <w:link w:val="7"/>
    <w:qFormat/>
    <w:uiPriority w:val="0"/>
    <w:rPr>
      <w:rFonts w:ascii="方正小标宋_GBK" w:hAnsi="MS Sans Serif" w:eastAsia="方正小标宋_GBK"/>
      <w:kern w:val="2"/>
      <w:sz w:val="44"/>
      <w:szCs w:val="32"/>
    </w:rPr>
  </w:style>
  <w:style w:type="character" w:customStyle="1" w:styleId="23">
    <w:name w:val="lawyeeWritName1 Char"/>
    <w:basedOn w:val="22"/>
    <w:link w:val="8"/>
    <w:qFormat/>
    <w:uiPriority w:val="0"/>
  </w:style>
  <w:style w:type="character" w:customStyle="1" w:styleId="24">
    <w:name w:val="lawyeeCaseNum1 Char"/>
    <w:basedOn w:val="22"/>
    <w:link w:val="9"/>
    <w:qFormat/>
    <w:uiPriority w:val="0"/>
    <w:rPr>
      <w:rFonts w:ascii="仿宋_GB2312" w:eastAsia="仿宋_GB2312"/>
      <w:sz w:val="32"/>
    </w:rPr>
  </w:style>
  <w:style w:type="character" w:customStyle="1" w:styleId="25">
    <w:name w:val="lawyeeWritContent1 Char"/>
    <w:basedOn w:val="22"/>
    <w:link w:val="10"/>
    <w:qFormat/>
    <w:uiPriority w:val="0"/>
    <w:rPr>
      <w:rFonts w:ascii="仿宋_GB2312" w:eastAsia="仿宋_GB2312"/>
      <w:sz w:val="32"/>
    </w:rPr>
  </w:style>
  <w:style w:type="character" w:customStyle="1" w:styleId="26">
    <w:name w:val="lawyeeWritContent0 Char"/>
    <w:basedOn w:val="22"/>
    <w:link w:val="11"/>
    <w:qFormat/>
    <w:uiPriority w:val="0"/>
    <w:rPr>
      <w:rFonts w:ascii="仿宋_GB2312" w:eastAsia="仿宋_GB2312"/>
      <w:sz w:val="32"/>
    </w:rPr>
  </w:style>
  <w:style w:type="character" w:customStyle="1" w:styleId="27">
    <w:name w:val="lawyeeWritContent2 Char"/>
    <w:basedOn w:val="22"/>
    <w:link w:val="12"/>
    <w:qFormat/>
    <w:uiPriority w:val="0"/>
    <w:rPr>
      <w:rFonts w:ascii="仿宋_GB2312" w:eastAsia="仿宋_GB2312"/>
      <w:sz w:val="32"/>
    </w:rPr>
  </w:style>
  <w:style w:type="character" w:customStyle="1" w:styleId="28">
    <w:name w:val="lawyeeJudge1 Char"/>
    <w:basedOn w:val="22"/>
    <w:link w:val="13"/>
    <w:qFormat/>
    <w:uiPriority w:val="0"/>
    <w:rPr>
      <w:rFonts w:ascii="仿宋_GB2312" w:eastAsia="仿宋_GB2312"/>
      <w:sz w:val="32"/>
    </w:rPr>
  </w:style>
  <w:style w:type="character" w:customStyle="1" w:styleId="29">
    <w:name w:val="lawyeeDate1 Char"/>
    <w:basedOn w:val="22"/>
    <w:link w:val="14"/>
    <w:qFormat/>
    <w:uiPriority w:val="0"/>
    <w:rPr>
      <w:rFonts w:ascii="仿宋_GB2312" w:eastAsia="仿宋_GB2312"/>
      <w:sz w:val="32"/>
    </w:rPr>
  </w:style>
  <w:style w:type="character" w:customStyle="1" w:styleId="30">
    <w:name w:val="lawyeeJudge2 Char"/>
    <w:basedOn w:val="22"/>
    <w:link w:val="15"/>
    <w:qFormat/>
    <w:uiPriority w:val="0"/>
    <w:rPr>
      <w:rFonts w:ascii="仿宋_GB2312" w:eastAsia="仿宋_GB2312"/>
      <w:sz w:val="32"/>
    </w:rPr>
  </w:style>
  <w:style w:type="character" w:customStyle="1" w:styleId="31">
    <w:name w:val="lawyeeAttach1 Char"/>
    <w:basedOn w:val="22"/>
    <w:link w:val="16"/>
    <w:qFormat/>
    <w:uiPriority w:val="0"/>
    <w:rPr>
      <w:rFonts w:ascii="仿宋_GB2312" w:eastAsia="仿宋_GB2312"/>
      <w:sz w:val="32"/>
    </w:rPr>
  </w:style>
  <w:style w:type="character" w:customStyle="1" w:styleId="32">
    <w:name w:val="lawyeeAttachContent1 Char"/>
    <w:basedOn w:val="22"/>
    <w:link w:val="17"/>
    <w:qFormat/>
    <w:uiPriority w:val="0"/>
    <w:rPr>
      <w:rFonts w:ascii="仿宋_GB2312" w:eastAsia="仿宋_GB2312"/>
      <w:sz w:val="32"/>
    </w:rPr>
  </w:style>
  <w:style w:type="character" w:customStyle="1" w:styleId="33">
    <w:name w:val="lawyeeAttachContent0 Char"/>
    <w:basedOn w:val="22"/>
    <w:link w:val="18"/>
    <w:qFormat/>
    <w:uiPriority w:val="0"/>
    <w:rPr>
      <w:rFonts w:ascii="仿宋_GB2312" w:eastAsia="仿宋_GB2312"/>
      <w:sz w:val="32"/>
    </w:rPr>
  </w:style>
  <w:style w:type="character" w:customStyle="1" w:styleId="34">
    <w:name w:val="lawyeeAttachContent2 Char"/>
    <w:basedOn w:val="22"/>
    <w:link w:val="19"/>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宁河区人民法院</Company>
  <Pages>4</Pages>
  <Words>269</Words>
  <Characters>1539</Characters>
  <Lines>12</Lines>
  <Paragraphs>3</Paragraphs>
  <TotalTime>0</TotalTime>
  <ScaleCrop>false</ScaleCrop>
  <LinksUpToDate>false</LinksUpToDate>
  <CharactersWithSpaces>1805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2018-05-14T01:39:00Z</dcterms:created>
  <dc:creator>靳加伏</dc:creator>
  <cp:lastModifiedBy>TF-PC</cp:lastModifiedBy>
  <dcterms:modified xsi:type="dcterms:W3CDTF">2018-08-27T09:39:14Z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