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hint="eastAsia" w:ascii="宋体" w:hAnsi="宋体"/>
          <w:sz w:val="44"/>
        </w:rPr>
      </w:pPr>
      <w:bookmarkStart w:id="0" w:name="_GoBack"/>
      <w:bookmarkEnd w:id="0"/>
      <w:r>
        <w:rPr>
          <w:rFonts w:hint="eastAsia" w:ascii="宋体" w:hAnsi="宋体"/>
          <w:sz w:val="44"/>
        </w:rPr>
        <w:t>天津市津南区人民法院</w:t>
      </w:r>
    </w:p>
    <w:p>
      <w:pPr>
        <w:spacing w:before="240" w:beforeLines="100" w:line="480" w:lineRule="exact"/>
        <w:jc w:val="center"/>
        <w:rPr>
          <w:rFonts w:hint="eastAsia" w:ascii="宋体" w:hAnsi="宋体"/>
          <w:kern w:val="0"/>
          <w:sz w:val="52"/>
        </w:rPr>
      </w:pPr>
      <w:r>
        <w:rPr>
          <w:rFonts w:hint="eastAsia" w:ascii="宋体" w:hAnsi="宋体"/>
          <w:spacing w:val="50"/>
          <w:kern w:val="0"/>
          <w:sz w:val="52"/>
        </w:rPr>
        <w:t>刑事判决</w:t>
      </w:r>
      <w:r>
        <w:rPr>
          <w:rFonts w:hint="eastAsia" w:ascii="宋体" w:hAnsi="宋体"/>
          <w:kern w:val="0"/>
          <w:sz w:val="52"/>
        </w:rPr>
        <w:t>书</w:t>
      </w:r>
    </w:p>
    <w:p>
      <w:pPr>
        <w:spacing w:after="240" w:afterLines="100" w:line="480" w:lineRule="exact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（2017）津0112刑初604号</w:t>
      </w:r>
    </w:p>
    <w:p>
      <w:pPr>
        <w:spacing w:line="48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公诉机关天津市津南区人民检察院。</w:t>
      </w:r>
    </w:p>
    <w:p>
      <w:pPr>
        <w:spacing w:line="48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黄美玉，女，1986年7月13日出生于黑龙江省，朝鲜族，大专文化，个体经商，户籍地黑龙江省海林市新安朝鲜族镇共济村共济路162-06号，现住天津市津南区双桥河镇友和园23号楼1205室。因涉嫌犯信用卡诈骗罪于2017年6月25日被天津市公安局津南分局刑事拘留，同年7月7日被逮捕，现羁押于天津市津南区看守所。</w:t>
      </w:r>
    </w:p>
    <w:p>
      <w:pPr>
        <w:spacing w:line="48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以津津南检公诉刑诉［2017］594号起诉书指控被告人黄美玉犯信用卡诈骗罪，于2017年10月20日向本院提起公诉。本院依法组成合议庭，适用简易程序公开开庭审理了本案。天津市津南区人民检察院指派检察员胡鹏出庭支持公诉，被告人黄美玉到庭参加诉讼。现已审理终结。</w:t>
      </w:r>
    </w:p>
    <w:p>
      <w:pPr>
        <w:spacing w:line="48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天津市津南区人民检察院指控，1、2008年6月2日，被告人黄美玉在中国建设银行天津分行办理卡号为4367452060669209的信用卡1张，用于大量取现及透支消费，后经发卡银行于2014年12月24日至2016年1月6日多次以电话、外访等方式催收，拒不还款，并更换联系方式以逃避银行催收。截止2016年4月26日，被告人黄美玉持该卡累计透支、取现本金人民币15033.2元。</w:t>
      </w:r>
    </w:p>
    <w:p>
      <w:pPr>
        <w:spacing w:line="48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2、2013年3月9日，被告人黄美玉在中国光大银行天津分行办理了卡号为4816990006718256的信用卡1张，用于大量取现及透支消费，后经发卡银行于2014年5月至2015年12月7日多次以电话方式催收，拒不还款，并更换联系方式以逃避银行催收。后被告人黄美玉于2016年1月30日归还部分钱款人民币3000元。截至2016年2月5日，被告人黄美玉持该卡累计透支、取现本金人民币91656.29元。</w:t>
      </w:r>
    </w:p>
    <w:p>
      <w:pPr>
        <w:spacing w:line="48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3、2013年12月1日，被告人黄美玉在平安银行信用卡中心办理卡号为5268550796530236信用卡1张，用于大量取现及透支消费，后经发卡银行于2015年1月6日至2017年4月24日多次以电话方式催收，拒不还款，并更换联系方式以逃避银行催收，截至2017年8月2日，被告人黄美玉持卡累计透支、取现本金人民币22564.65元。</w:t>
      </w:r>
    </w:p>
    <w:p>
      <w:pPr>
        <w:spacing w:line="48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综上，被告人黄美玉恶意透支银行本金共计人民币129254.14元。经发卡银行报警案发后，被告人黄美玉于2017年6月24日主动到公安机关投案并如实供述上述事实，并已归还了全部欠款。</w:t>
      </w:r>
    </w:p>
    <w:p>
      <w:pPr>
        <w:spacing w:line="48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本院查明事实与公诉机关指控事实一致。</w:t>
      </w:r>
    </w:p>
    <w:p>
      <w:pPr>
        <w:spacing w:line="48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公诉机关提供了案件来源及抓获经过，常住人口信息表，还款回单，信用卡账户明细，银行催收记录，结清证明，证人许澎、刘飚、董珊珊等人的证言等证据证实，足以认定。</w:t>
      </w:r>
    </w:p>
    <w:p>
      <w:pPr>
        <w:spacing w:line="48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公诉机关认为被告人黄美玉以非法占有为目的，使用信用卡超过规定期限透支，经发卡行多次催收后仍不归还，数额巨大，其行为已触犯《中华人民共和国刑法》第一百九十六条之规定，犯罪事实清楚，证据确实充分，应当以信用卡诈骗罪追究其刑事责任。其案发后主动投案，如实供述自己的罪行，属自首，可以从轻或减轻处罚。建议判处被告人黄美玉有期徒刑三年至四年，可适用缓刑，并处罚金。</w:t>
      </w:r>
    </w:p>
    <w:p>
      <w:pPr>
        <w:spacing w:line="48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被告人黄美玉对公诉机关指控的事实及当庭提供的证据均无异议，亦未发表辩解意见。</w:t>
      </w:r>
    </w:p>
    <w:p>
      <w:pPr>
        <w:spacing w:line="48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本院认为，被告人黄美玉以非法占有为目的，使用信用卡恶意透支，经发卡行多次催收后超过三个月仍不归还，数额巨大，其行为已构成信用卡诈骗罪。公诉机关指控的罪名成立。其案发后主动投案，如实供述自己的罪行，属自首，依法可以减轻处罚。其已将欠款全部归还银行，可酌情从轻处罚。综合考虑以上情节，依法对被告人适用缓刑。据此，依照《中华人民共和国刑法》第一百九十六条第一款，第六十七条第一款、第七十二条第一款、第七十三条第二款、第三款、第七十六条的规定，判决如下：</w:t>
      </w:r>
    </w:p>
    <w:p>
      <w:pPr>
        <w:spacing w:line="48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被告人黄美玉犯信用卡诈骗罪，判处有期徒刑三年，缓刑三年，并处罚金人民币30000元。</w:t>
      </w:r>
    </w:p>
    <w:p>
      <w:pPr>
        <w:spacing w:line="48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（缓刑考验期限，从判决确定之日起计算。罚金于判决生效后三日内缴纳。）</w:t>
      </w:r>
    </w:p>
    <w:p>
      <w:pPr>
        <w:spacing w:line="48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如不服本判决，可在接到判决书的第二日起十日内，通过本院或直接向天津市第二中级人民法院提出上诉，书面上诉的应当提交上诉状正本一份，副本两份。</w:t>
      </w:r>
    </w:p>
    <w:p>
      <w:pPr>
        <w:spacing w:line="480" w:lineRule="exact"/>
        <w:ind w:right="1120"/>
        <w:rPr>
          <w:rFonts w:hint="eastAsia" w:ascii="仿宋_GB2312" w:eastAsia="仿宋_GB2312"/>
          <w:sz w:val="32"/>
        </w:rPr>
      </w:pPr>
    </w:p>
    <w:p>
      <w:pPr>
        <w:spacing w:line="480" w:lineRule="exact"/>
        <w:ind w:right="1120"/>
        <w:rPr>
          <w:rFonts w:hint="eastAsia" w:ascii="仿宋_GB2312" w:eastAsia="仿宋_GB2312"/>
          <w:sz w:val="32"/>
        </w:rPr>
      </w:pPr>
    </w:p>
    <w:p>
      <w:pPr>
        <w:spacing w:line="480" w:lineRule="exact"/>
        <w:ind w:right="1120"/>
        <w:rPr>
          <w:rFonts w:hint="eastAsia" w:ascii="仿宋_GB2312" w:eastAsia="仿宋_GB2312"/>
          <w:sz w:val="32"/>
        </w:rPr>
      </w:pPr>
    </w:p>
    <w:p>
      <w:pPr>
        <w:spacing w:line="480" w:lineRule="exact"/>
        <w:ind w:right="480" w:firstLine="640" w:firstLineChars="200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审  判  长    赵冀军</w:t>
      </w:r>
    </w:p>
    <w:p>
      <w:pPr>
        <w:spacing w:line="480" w:lineRule="exact"/>
        <w:ind w:right="480" w:firstLine="640" w:firstLineChars="200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代理审判员    张宝晶</w:t>
      </w:r>
    </w:p>
    <w:p>
      <w:pPr>
        <w:spacing w:line="480" w:lineRule="exact"/>
        <w:ind w:right="480" w:firstLine="640" w:firstLineChars="200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人民陪审员    薛春英</w:t>
      </w:r>
    </w:p>
    <w:p>
      <w:pPr>
        <w:spacing w:line="480" w:lineRule="exact"/>
        <w:ind w:right="480" w:firstLine="640" w:firstLineChars="200"/>
        <w:jc w:val="right"/>
        <w:rPr>
          <w:rFonts w:hint="eastAsia" w:ascii="仿宋_GB2312" w:eastAsia="仿宋_GB2312"/>
          <w:sz w:val="32"/>
        </w:rPr>
      </w:pPr>
    </w:p>
    <w:p>
      <w:pPr>
        <w:spacing w:line="480" w:lineRule="exact"/>
        <w:ind w:right="480" w:firstLine="640" w:firstLineChars="200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二〇一七年十一月十三日</w:t>
      </w:r>
    </w:p>
    <w:p>
      <w:pPr>
        <w:spacing w:line="480" w:lineRule="exact"/>
        <w:ind w:right="480" w:firstLine="640" w:firstLineChars="200"/>
        <w:jc w:val="right"/>
        <w:rPr>
          <w:rFonts w:hint="eastAsia" w:ascii="仿宋_GB2312" w:eastAsia="仿宋_GB2312"/>
          <w:sz w:val="32"/>
        </w:rPr>
      </w:pPr>
    </w:p>
    <w:p>
      <w:pPr>
        <w:spacing w:line="480" w:lineRule="exact"/>
        <w:ind w:right="480" w:firstLine="640" w:firstLineChars="200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书  记  员    刘永博</w:t>
      </w:r>
    </w:p>
    <w:p>
      <w:pPr>
        <w:spacing w:line="480" w:lineRule="exact"/>
        <w:ind w:right="480" w:firstLine="640" w:firstLineChars="200"/>
        <w:jc w:val="right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速  录  员    王志泉</w:t>
      </w:r>
      <w:r>
        <w:rPr>
          <w:rFonts w:hint="eastAsia"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sz w:val="32"/>
        </w:rPr>
        <w:t>速  录  员    韩远昭</w:t>
      </w:r>
    </w:p>
    <w:p>
      <w:pPr>
        <w:spacing w:line="480" w:lineRule="exact"/>
        <w:ind w:firstLine="640" w:firstLineChars="200"/>
        <w:rPr>
          <w:rFonts w:hint="eastAsia"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附：本案适用的法律及司法解释</w:t>
      </w:r>
    </w:p>
    <w:p>
      <w:pPr>
        <w:spacing w:line="48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hAnsi="仿宋" w:eastAsia="仿宋_GB2312"/>
          <w:sz w:val="32"/>
          <w:szCs w:val="32"/>
        </w:rPr>
        <w:t>《中华人民共和国刑法》</w:t>
      </w:r>
    </w:p>
    <w:p>
      <w:pPr>
        <w:spacing w:line="480" w:lineRule="exact"/>
        <w:ind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 xml:space="preserve">第一百九十六条  </w:t>
      </w:r>
      <w:r>
        <w:rPr>
          <w:rFonts w:ascii="仿宋_GB2312" w:eastAsia="仿宋_GB2312"/>
          <w:sz w:val="32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rFonts w:ascii="仿宋_GB2312" w:eastAsia="仿宋_GB2312"/>
          <w:sz w:val="32"/>
        </w:rPr>
        <w:br w:type="textWrapping"/>
      </w:r>
      <w:r>
        <w:rPr>
          <w:rFonts w:ascii="仿宋_GB2312" w:eastAsia="仿宋_GB2312"/>
          <w:sz w:val="32"/>
        </w:rPr>
        <w:t>　　（一）使用伪造的信用卡，或者使用以虚假的身份证明骗领的信用卡的；</w:t>
      </w:r>
      <w:r>
        <w:rPr>
          <w:rFonts w:ascii="仿宋_GB2312" w:eastAsia="仿宋_GB2312"/>
          <w:sz w:val="32"/>
        </w:rPr>
        <w:br w:type="textWrapping"/>
      </w:r>
      <w:r>
        <w:rPr>
          <w:rFonts w:ascii="仿宋_GB2312" w:eastAsia="仿宋_GB2312"/>
          <w:sz w:val="32"/>
        </w:rPr>
        <w:t>　　（二）使用作废的信用卡的；</w:t>
      </w:r>
      <w:r>
        <w:rPr>
          <w:rFonts w:ascii="仿宋_GB2312" w:eastAsia="仿宋_GB2312"/>
          <w:sz w:val="32"/>
        </w:rPr>
        <w:br w:type="textWrapping"/>
      </w:r>
      <w:r>
        <w:rPr>
          <w:rFonts w:ascii="仿宋_GB2312" w:eastAsia="仿宋_GB2312"/>
          <w:sz w:val="32"/>
        </w:rPr>
        <w:t>　　（三）冒用他人信用卡的；</w:t>
      </w:r>
      <w:r>
        <w:rPr>
          <w:rFonts w:ascii="仿宋_GB2312" w:eastAsia="仿宋_GB2312"/>
          <w:sz w:val="32"/>
        </w:rPr>
        <w:br w:type="textWrapping"/>
      </w:r>
      <w:r>
        <w:rPr>
          <w:rFonts w:ascii="仿宋_GB2312" w:eastAsia="仿宋_GB2312"/>
          <w:sz w:val="32"/>
        </w:rPr>
        <w:t>　　（四）恶意透支的。</w:t>
      </w:r>
      <w:r>
        <w:rPr>
          <w:rFonts w:ascii="仿宋_GB2312" w:eastAsia="仿宋_GB2312"/>
          <w:sz w:val="32"/>
        </w:rPr>
        <w:br w:type="textWrapping"/>
      </w:r>
      <w:r>
        <w:rPr>
          <w:rFonts w:ascii="仿宋_GB2312" w:eastAsia="仿宋_GB2312"/>
          <w:sz w:val="32"/>
        </w:rPr>
        <w:t>　　前款所称恶意透支，是指持卡人以非法占有为目的，超过规定限额或者规定期限透支，并且经发卡银行催收后仍不归还的行为。</w:t>
      </w:r>
      <w:r>
        <w:rPr>
          <w:rFonts w:ascii="仿宋_GB2312" w:eastAsia="仿宋_GB2312"/>
          <w:sz w:val="32"/>
        </w:rPr>
        <w:br w:type="textWrapping"/>
      </w:r>
      <w:r>
        <w:rPr>
          <w:rFonts w:ascii="仿宋_GB2312" w:eastAsia="仿宋_GB2312"/>
          <w:sz w:val="32"/>
        </w:rPr>
        <w:t>　　盗窃信用卡并使用的，依照本法第二百六十四条的规定定罪处罚。</w:t>
      </w:r>
      <w:r>
        <w:rPr>
          <w:rFonts w:ascii="仿宋_GB2312" w:eastAsia="仿宋_GB2312"/>
          <w:sz w:val="32"/>
        </w:rPr>
        <w:br w:type="textWrapping"/>
      </w:r>
      <w:r>
        <w:rPr>
          <w:rFonts w:hint="eastAsia" w:ascii="仿宋_GB2312" w:eastAsia="仿宋_GB2312"/>
          <w:bCs/>
          <w:sz w:val="32"/>
        </w:rPr>
        <w:t xml:space="preserve">    第六十七条  </w:t>
      </w:r>
      <w:r>
        <w:rPr>
          <w:rFonts w:ascii="仿宋_GB2312" w:eastAsia="仿宋_GB2312"/>
          <w:sz w:val="32"/>
        </w:rPr>
        <w:t>犯罪以后自动投案，如实供述自己的罪行的，是自首。对于自首的犯罪分子，可以从轻或者减轻处罚。其中，犯罪较轻的，可以免除处罚。</w:t>
      </w:r>
      <w:r>
        <w:rPr>
          <w:rFonts w:ascii="仿宋_GB2312" w:eastAsia="仿宋_GB2312"/>
          <w:sz w:val="32"/>
        </w:rPr>
        <w:br w:type="textWrapping"/>
      </w:r>
      <w:r>
        <w:rPr>
          <w:rFonts w:ascii="仿宋_GB2312" w:eastAsia="仿宋_GB2312"/>
          <w:sz w:val="32"/>
        </w:rPr>
        <w:t>　　被采取强制措施的犯罪嫌疑人、被告人和正在服刑的罪犯，如实供述司法机关还未掌握的本人其他罪行的，以自首论。</w:t>
      </w:r>
      <w:r>
        <w:rPr>
          <w:rFonts w:ascii="仿宋_GB2312" w:eastAsia="仿宋_GB2312"/>
          <w:sz w:val="32"/>
        </w:rPr>
        <w:br w:type="textWrapping"/>
      </w:r>
      <w:r>
        <w:rPr>
          <w:rFonts w:ascii="仿宋_GB2312" w:eastAsia="仿宋_GB2312"/>
          <w:sz w:val="32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480" w:lineRule="exact"/>
        <w:ind w:right="607" w:rightChars="289" w:firstLine="640" w:firstLineChars="20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第七十二条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480" w:lineRule="exact"/>
        <w:ind w:right="607" w:rightChars="28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 xml:space="preserve">    （一）犯罪情节较轻；</w:t>
      </w:r>
    </w:p>
    <w:p>
      <w:pPr>
        <w:spacing w:line="480" w:lineRule="exact"/>
        <w:ind w:right="607" w:rightChars="28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 xml:space="preserve">    （二）有悔罪表现；</w:t>
      </w:r>
    </w:p>
    <w:p>
      <w:pPr>
        <w:spacing w:line="480" w:lineRule="exact"/>
        <w:ind w:right="607" w:rightChars="28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 xml:space="preserve">    （三）没有再犯罪的危险；</w:t>
      </w:r>
    </w:p>
    <w:p>
      <w:pPr>
        <w:spacing w:line="480" w:lineRule="exact"/>
        <w:ind w:right="607" w:rightChars="289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 xml:space="preserve">    （四）宣告缓刑对所居住社区没有重大不良影响。</w:t>
      </w:r>
    </w:p>
    <w:p>
      <w:pPr>
        <w:spacing w:line="480" w:lineRule="exact"/>
        <w:ind w:right="607" w:rightChars="289" w:firstLine="64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第七十三条 拘役的缓刑考验期限为原判刑期以上一年以下，但是不能少于二个月。</w:t>
      </w:r>
    </w:p>
    <w:p>
      <w:pPr>
        <w:spacing w:line="480" w:lineRule="exact"/>
        <w:ind w:right="607" w:rightChars="289" w:firstLine="64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有期徒刑的缓刑考验期为原判刑期以上5年以下，但是不能少于一年。</w:t>
      </w:r>
    </w:p>
    <w:p>
      <w:pPr>
        <w:spacing w:line="480" w:lineRule="exact"/>
        <w:ind w:right="607" w:rightChars="289" w:firstLine="640"/>
        <w:rPr>
          <w:rFonts w:hint="eastAsia" w:ascii="仿宋_GB2312" w:eastAsia="仿宋_GB2312"/>
          <w:sz w:val="32"/>
        </w:rPr>
      </w:pPr>
      <w:r>
        <w:rPr>
          <w:rFonts w:hint="eastAsia" w:ascii="仿宋_GB2312" w:eastAsia="仿宋_GB2312"/>
          <w:sz w:val="32"/>
        </w:rPr>
        <w:t>缓刑考验期限，从判决确定之日起计算。</w:t>
      </w:r>
    </w:p>
    <w:p>
      <w:pPr>
        <w:spacing w:line="480" w:lineRule="exact"/>
        <w:ind w:firstLine="640" w:firstLineChars="200"/>
        <w:rPr>
          <w:rFonts w:hint="eastAsia" w:ascii="仿宋_GB2312" w:hAnsi="仿宋" w:eastAsia="仿宋_GB2312" w:cs="宋体"/>
          <w:kern w:val="0"/>
          <w:sz w:val="32"/>
          <w:szCs w:val="32"/>
        </w:rPr>
      </w:pPr>
      <w:r>
        <w:rPr>
          <w:rFonts w:hint="eastAsia" w:ascii="仿宋_GB2312" w:eastAsia="仿宋_GB2312"/>
          <w:sz w:val="32"/>
        </w:rPr>
        <w:t>第七十六条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480" w:lineRule="exact"/>
        <w:ind w:firstLine="640" w:firstLineChars="200"/>
        <w:rPr>
          <w:rFonts w:hint="eastAsia" w:ascii="仿宋_GB2312" w:eastAsia="仿宋_GB2312"/>
          <w:sz w:val="32"/>
        </w:rPr>
      </w:pPr>
    </w:p>
    <w:sectPr>
      <w:footerReference r:id="rId5" w:type="first"/>
      <w:footerReference r:id="rId3" w:type="default"/>
      <w:footerReference r:id="rId4" w:type="even"/>
      <w:pgSz w:w="11907" w:h="16839"/>
      <w:pgMar w:top="1701" w:right="1418" w:bottom="1701" w:left="1701" w:header="851" w:footer="1701" w:gutter="0"/>
      <w:cols w:space="425" w:num="1"/>
      <w:titlePg/>
      <w:docGrid w:linePitch="537" w:charSpace="289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tabs>
        <w:tab w:val="clear" w:pos="4153"/>
        <w:tab w:val="clear" w:pos="8306"/>
      </w:tabs>
      <w:rPr>
        <w:rStyle w:val="7"/>
        <w:rFonts w:ascii="Calibri" w:hAnsi="Calibri"/>
      </w:rPr>
    </w:pPr>
    <w:r>
      <w:rPr>
        <w:rStyle w:val="7"/>
        <w:rFonts w:ascii="Calibri" w:hAnsi="Calibri"/>
      </w:rPr>
      <w:fldChar w:fldCharType="begin"/>
    </w:r>
    <w:r>
      <w:rPr>
        <w:rStyle w:val="7"/>
        <w:rFonts w:ascii="Calibri" w:hAnsi="Calibri"/>
      </w:rPr>
      <w:instrText xml:space="preserve">PAGE  </w:instrText>
    </w:r>
    <w:r>
      <w:rPr>
        <w:rStyle w:val="7"/>
        <w:rFonts w:ascii="Calibri" w:hAnsi="Calibri"/>
      </w:rPr>
      <w:fldChar w:fldCharType="separate"/>
    </w:r>
    <w:r>
      <w:rPr>
        <w:rStyle w:val="7"/>
        <w:rFonts w:ascii="Calibri" w:hAnsi="Calibri"/>
      </w:rPr>
      <w:t>3</w:t>
    </w:r>
    <w:r>
      <w:rPr>
        <w:rStyle w:val="7"/>
        <w:rFonts w:ascii="Calibri" w:hAnsi="Calibri"/>
      </w:rPr>
      <w:fldChar w:fldCharType="end"/>
    </w:r>
  </w:p>
  <w:p>
    <w:pPr>
      <w:rPr>
        <w:rFonts w:ascii="Calibri" w:hAnsi="Calibri"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tabs>
        <w:tab w:val="clear" w:pos="4153"/>
        <w:tab w:val="clear" w:pos="8306"/>
      </w:tabs>
      <w:rPr>
        <w:rStyle w:val="7"/>
        <w:rFonts w:ascii="Calibri" w:hAnsi="Calibri"/>
      </w:rPr>
    </w:pPr>
    <w:r>
      <w:rPr>
        <w:rStyle w:val="7"/>
        <w:rFonts w:ascii="Calibri" w:hAnsi="Calibri"/>
      </w:rPr>
      <w:fldChar w:fldCharType="begin"/>
    </w:r>
    <w:r>
      <w:rPr>
        <w:rStyle w:val="7"/>
        <w:rFonts w:ascii="Calibri" w:hAnsi="Calibri"/>
      </w:rPr>
      <w:instrText xml:space="preserve">PAGE  </w:instrText>
    </w:r>
    <w:r>
      <w:rPr>
        <w:rStyle w:val="7"/>
        <w:rFonts w:ascii="Calibri" w:hAnsi="Calibri"/>
      </w:rPr>
      <w:fldChar w:fldCharType="separate"/>
    </w:r>
    <w:r>
      <w:rPr>
        <w:rStyle w:val="7"/>
        <w:rFonts w:ascii="Calibri" w:hAnsi="Calibri"/>
      </w:rPr>
      <w:t>4</w:t>
    </w:r>
    <w:r>
      <w:rPr>
        <w:rStyle w:val="7"/>
        <w:rFonts w:ascii="Calibri" w:hAnsi="Calibri"/>
      </w:rPr>
      <w:fldChar w:fldCharType="end"/>
    </w:r>
  </w:p>
  <w:p>
    <w:pPr>
      <w:pStyle w:val="4"/>
      <w:tabs>
        <w:tab w:val="clear" w:pos="4153"/>
        <w:tab w:val="clear" w:pos="8306"/>
      </w:tabs>
      <w:rPr>
        <w:rFonts w:ascii="Calibri" w:hAnsi="Calibri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lear" w:pos="4153"/>
        <w:tab w:val="clear" w:pos="8306"/>
      </w:tabs>
      <w:jc w:val="center"/>
      <w:rPr>
        <w:rFonts w:ascii="Calibri" w:hAnsi="Calibri"/>
      </w:rPr>
    </w:pP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  \* MERGEFORMAT </w:instrText>
    </w:r>
    <w:r>
      <w:rPr>
        <w:rFonts w:ascii="Calibri" w:hAnsi="Calibri"/>
      </w:rPr>
      <w:fldChar w:fldCharType="separate"/>
    </w:r>
    <w:r>
      <w:rPr>
        <w:rFonts w:ascii="Calibri" w:hAnsi="Calibri"/>
        <w:lang w:val="zh-CN"/>
      </w:rPr>
      <w:t>1</w:t>
    </w:r>
    <w:r>
      <w:rPr>
        <w:rFonts w:ascii="Calibri" w:hAnsi="Calibri"/>
      </w:rPr>
      <w:fldChar w:fldCharType="end"/>
    </w:r>
  </w:p>
  <w:p>
    <w:pPr>
      <w:pStyle w:val="4"/>
      <w:tabs>
        <w:tab w:val="clear" w:pos="4153"/>
        <w:tab w:val="clear" w:pos="8306"/>
      </w:tabs>
      <w:rPr>
        <w:rFonts w:ascii="Calibri" w:hAnsi="Calibri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76"/>
  <w:drawingGridVerticalSpacing w:val="537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4FC2"/>
    <w:rsid w:val="00007FF2"/>
    <w:rsid w:val="00012885"/>
    <w:rsid w:val="00022DDA"/>
    <w:rsid w:val="0004730C"/>
    <w:rsid w:val="00061319"/>
    <w:rsid w:val="00074C53"/>
    <w:rsid w:val="000762A1"/>
    <w:rsid w:val="000822D4"/>
    <w:rsid w:val="00082E23"/>
    <w:rsid w:val="00093B45"/>
    <w:rsid w:val="00095431"/>
    <w:rsid w:val="000A089D"/>
    <w:rsid w:val="000C44EA"/>
    <w:rsid w:val="000D0202"/>
    <w:rsid w:val="000D585D"/>
    <w:rsid w:val="000D7642"/>
    <w:rsid w:val="000F2A5C"/>
    <w:rsid w:val="000F34F1"/>
    <w:rsid w:val="000F4524"/>
    <w:rsid w:val="000F6D29"/>
    <w:rsid w:val="001169AC"/>
    <w:rsid w:val="00117471"/>
    <w:rsid w:val="001235D4"/>
    <w:rsid w:val="00126D0F"/>
    <w:rsid w:val="001306D1"/>
    <w:rsid w:val="001328CB"/>
    <w:rsid w:val="00145147"/>
    <w:rsid w:val="00157C2A"/>
    <w:rsid w:val="00176141"/>
    <w:rsid w:val="00177A1A"/>
    <w:rsid w:val="00190EFE"/>
    <w:rsid w:val="001B1F50"/>
    <w:rsid w:val="001B2CD9"/>
    <w:rsid w:val="001C7500"/>
    <w:rsid w:val="001D2407"/>
    <w:rsid w:val="001E002E"/>
    <w:rsid w:val="001E158E"/>
    <w:rsid w:val="001E1AA7"/>
    <w:rsid w:val="001E3F1A"/>
    <w:rsid w:val="00200D36"/>
    <w:rsid w:val="00203737"/>
    <w:rsid w:val="002046EF"/>
    <w:rsid w:val="00207C4B"/>
    <w:rsid w:val="0021252E"/>
    <w:rsid w:val="00223CB6"/>
    <w:rsid w:val="0023058B"/>
    <w:rsid w:val="002307BA"/>
    <w:rsid w:val="0023092D"/>
    <w:rsid w:val="00233A01"/>
    <w:rsid w:val="00240B62"/>
    <w:rsid w:val="002439ED"/>
    <w:rsid w:val="00252573"/>
    <w:rsid w:val="0025606A"/>
    <w:rsid w:val="002620ED"/>
    <w:rsid w:val="002636D4"/>
    <w:rsid w:val="0026776C"/>
    <w:rsid w:val="002817C7"/>
    <w:rsid w:val="00281967"/>
    <w:rsid w:val="00283F9C"/>
    <w:rsid w:val="00285C92"/>
    <w:rsid w:val="00286DB3"/>
    <w:rsid w:val="002952D5"/>
    <w:rsid w:val="002A3E6E"/>
    <w:rsid w:val="002A7DA2"/>
    <w:rsid w:val="002B20CC"/>
    <w:rsid w:val="002B634C"/>
    <w:rsid w:val="002C248F"/>
    <w:rsid w:val="002D0811"/>
    <w:rsid w:val="002D28A7"/>
    <w:rsid w:val="002E03FA"/>
    <w:rsid w:val="002E54E8"/>
    <w:rsid w:val="002E6293"/>
    <w:rsid w:val="002F0C6B"/>
    <w:rsid w:val="002F2C26"/>
    <w:rsid w:val="0030541A"/>
    <w:rsid w:val="00325754"/>
    <w:rsid w:val="00327CFA"/>
    <w:rsid w:val="003355FA"/>
    <w:rsid w:val="00345063"/>
    <w:rsid w:val="00351BB7"/>
    <w:rsid w:val="00356CDC"/>
    <w:rsid w:val="0035790F"/>
    <w:rsid w:val="003678CA"/>
    <w:rsid w:val="003702CC"/>
    <w:rsid w:val="003817AC"/>
    <w:rsid w:val="00384419"/>
    <w:rsid w:val="003845AB"/>
    <w:rsid w:val="003A11C8"/>
    <w:rsid w:val="003A4985"/>
    <w:rsid w:val="003B5CF2"/>
    <w:rsid w:val="003B5D90"/>
    <w:rsid w:val="003C5E68"/>
    <w:rsid w:val="003D40F6"/>
    <w:rsid w:val="003F1315"/>
    <w:rsid w:val="003F13E5"/>
    <w:rsid w:val="003F1856"/>
    <w:rsid w:val="003F2B6E"/>
    <w:rsid w:val="004179F7"/>
    <w:rsid w:val="004201A6"/>
    <w:rsid w:val="00420DFA"/>
    <w:rsid w:val="0042620B"/>
    <w:rsid w:val="004277D4"/>
    <w:rsid w:val="00430B24"/>
    <w:rsid w:val="00430ECA"/>
    <w:rsid w:val="00450D21"/>
    <w:rsid w:val="0045617D"/>
    <w:rsid w:val="00472BA8"/>
    <w:rsid w:val="00486160"/>
    <w:rsid w:val="00494A6A"/>
    <w:rsid w:val="004A3A63"/>
    <w:rsid w:val="004A4DDF"/>
    <w:rsid w:val="004D0B5F"/>
    <w:rsid w:val="004F1552"/>
    <w:rsid w:val="0050564D"/>
    <w:rsid w:val="00526E93"/>
    <w:rsid w:val="00546B5B"/>
    <w:rsid w:val="0055086D"/>
    <w:rsid w:val="005562CC"/>
    <w:rsid w:val="00567ADB"/>
    <w:rsid w:val="00576E6E"/>
    <w:rsid w:val="0058597F"/>
    <w:rsid w:val="00592C2D"/>
    <w:rsid w:val="005A2BC3"/>
    <w:rsid w:val="005A6E94"/>
    <w:rsid w:val="005B64CA"/>
    <w:rsid w:val="005B7420"/>
    <w:rsid w:val="005C271C"/>
    <w:rsid w:val="005D1489"/>
    <w:rsid w:val="005D70E2"/>
    <w:rsid w:val="005D75AA"/>
    <w:rsid w:val="005F203D"/>
    <w:rsid w:val="005F346A"/>
    <w:rsid w:val="005F546A"/>
    <w:rsid w:val="00601EA9"/>
    <w:rsid w:val="006137DC"/>
    <w:rsid w:val="00615244"/>
    <w:rsid w:val="00616A9A"/>
    <w:rsid w:val="0062297D"/>
    <w:rsid w:val="00640B03"/>
    <w:rsid w:val="00646384"/>
    <w:rsid w:val="006606CA"/>
    <w:rsid w:val="00675FFE"/>
    <w:rsid w:val="00676F1A"/>
    <w:rsid w:val="00683078"/>
    <w:rsid w:val="00694DF5"/>
    <w:rsid w:val="006C39CD"/>
    <w:rsid w:val="006D4F39"/>
    <w:rsid w:val="006D6BD5"/>
    <w:rsid w:val="006E5D34"/>
    <w:rsid w:val="0070556D"/>
    <w:rsid w:val="00717CE2"/>
    <w:rsid w:val="0073241A"/>
    <w:rsid w:val="00744273"/>
    <w:rsid w:val="007443C2"/>
    <w:rsid w:val="00745426"/>
    <w:rsid w:val="00751D38"/>
    <w:rsid w:val="0076235D"/>
    <w:rsid w:val="00771C20"/>
    <w:rsid w:val="00775B29"/>
    <w:rsid w:val="007775A2"/>
    <w:rsid w:val="007803B5"/>
    <w:rsid w:val="00784F51"/>
    <w:rsid w:val="0079183F"/>
    <w:rsid w:val="007C1A48"/>
    <w:rsid w:val="007C25AA"/>
    <w:rsid w:val="007C764C"/>
    <w:rsid w:val="007C7CC2"/>
    <w:rsid w:val="007E4E1B"/>
    <w:rsid w:val="007E5E2F"/>
    <w:rsid w:val="008037AF"/>
    <w:rsid w:val="008100D3"/>
    <w:rsid w:val="00812C59"/>
    <w:rsid w:val="00814CFA"/>
    <w:rsid w:val="00817F67"/>
    <w:rsid w:val="0082635A"/>
    <w:rsid w:val="00830E3A"/>
    <w:rsid w:val="00834A09"/>
    <w:rsid w:val="0083735D"/>
    <w:rsid w:val="00844125"/>
    <w:rsid w:val="008449A8"/>
    <w:rsid w:val="008452F5"/>
    <w:rsid w:val="00846A8A"/>
    <w:rsid w:val="00853325"/>
    <w:rsid w:val="008561AC"/>
    <w:rsid w:val="00860724"/>
    <w:rsid w:val="00864433"/>
    <w:rsid w:val="00875EDE"/>
    <w:rsid w:val="00883113"/>
    <w:rsid w:val="008841F3"/>
    <w:rsid w:val="00893F10"/>
    <w:rsid w:val="008A076D"/>
    <w:rsid w:val="008A16A3"/>
    <w:rsid w:val="008A3124"/>
    <w:rsid w:val="008A4521"/>
    <w:rsid w:val="008A4FC1"/>
    <w:rsid w:val="008C4178"/>
    <w:rsid w:val="008C5BA1"/>
    <w:rsid w:val="008D2BF3"/>
    <w:rsid w:val="008D74DD"/>
    <w:rsid w:val="008D7F61"/>
    <w:rsid w:val="008E3716"/>
    <w:rsid w:val="008E73F0"/>
    <w:rsid w:val="008E7F1D"/>
    <w:rsid w:val="008F2F5F"/>
    <w:rsid w:val="008F337E"/>
    <w:rsid w:val="0091071E"/>
    <w:rsid w:val="0094139D"/>
    <w:rsid w:val="00942DB3"/>
    <w:rsid w:val="009443A9"/>
    <w:rsid w:val="00946A53"/>
    <w:rsid w:val="009521FF"/>
    <w:rsid w:val="009541A5"/>
    <w:rsid w:val="00972225"/>
    <w:rsid w:val="009811CF"/>
    <w:rsid w:val="009A42AF"/>
    <w:rsid w:val="009B155F"/>
    <w:rsid w:val="009C4FC2"/>
    <w:rsid w:val="009D3B33"/>
    <w:rsid w:val="009D70D5"/>
    <w:rsid w:val="009D70D6"/>
    <w:rsid w:val="009E15A1"/>
    <w:rsid w:val="009F0335"/>
    <w:rsid w:val="009F4874"/>
    <w:rsid w:val="009F629D"/>
    <w:rsid w:val="00A058BA"/>
    <w:rsid w:val="00A13D7C"/>
    <w:rsid w:val="00A3415F"/>
    <w:rsid w:val="00A72FCF"/>
    <w:rsid w:val="00A91559"/>
    <w:rsid w:val="00AA1492"/>
    <w:rsid w:val="00AA1C1C"/>
    <w:rsid w:val="00AA4E81"/>
    <w:rsid w:val="00AA5FCE"/>
    <w:rsid w:val="00AA6E7C"/>
    <w:rsid w:val="00AB035E"/>
    <w:rsid w:val="00AB60D6"/>
    <w:rsid w:val="00AF1ED8"/>
    <w:rsid w:val="00AF295B"/>
    <w:rsid w:val="00AF50C4"/>
    <w:rsid w:val="00B07C82"/>
    <w:rsid w:val="00B10911"/>
    <w:rsid w:val="00B16BAA"/>
    <w:rsid w:val="00B2260A"/>
    <w:rsid w:val="00B4573F"/>
    <w:rsid w:val="00B57973"/>
    <w:rsid w:val="00B8060C"/>
    <w:rsid w:val="00B929C5"/>
    <w:rsid w:val="00BA44D6"/>
    <w:rsid w:val="00BB100B"/>
    <w:rsid w:val="00BC0FA0"/>
    <w:rsid w:val="00BD403F"/>
    <w:rsid w:val="00BE2436"/>
    <w:rsid w:val="00BE584B"/>
    <w:rsid w:val="00C069EC"/>
    <w:rsid w:val="00C0714D"/>
    <w:rsid w:val="00C30D32"/>
    <w:rsid w:val="00C604F5"/>
    <w:rsid w:val="00C67DBA"/>
    <w:rsid w:val="00C71942"/>
    <w:rsid w:val="00C80944"/>
    <w:rsid w:val="00C80D95"/>
    <w:rsid w:val="00CA2F71"/>
    <w:rsid w:val="00CC1257"/>
    <w:rsid w:val="00CC3AB7"/>
    <w:rsid w:val="00CC73F8"/>
    <w:rsid w:val="00CD3342"/>
    <w:rsid w:val="00CE2E4D"/>
    <w:rsid w:val="00CE4FF1"/>
    <w:rsid w:val="00CF7383"/>
    <w:rsid w:val="00D0184D"/>
    <w:rsid w:val="00D065B6"/>
    <w:rsid w:val="00D077EC"/>
    <w:rsid w:val="00D241A4"/>
    <w:rsid w:val="00D2480F"/>
    <w:rsid w:val="00D252D3"/>
    <w:rsid w:val="00D25A99"/>
    <w:rsid w:val="00D43204"/>
    <w:rsid w:val="00D70668"/>
    <w:rsid w:val="00D84534"/>
    <w:rsid w:val="00DB53FB"/>
    <w:rsid w:val="00DC0FA1"/>
    <w:rsid w:val="00DC241F"/>
    <w:rsid w:val="00DD3EC1"/>
    <w:rsid w:val="00DF0EB2"/>
    <w:rsid w:val="00DF73DD"/>
    <w:rsid w:val="00E04E3F"/>
    <w:rsid w:val="00E0660C"/>
    <w:rsid w:val="00E246A1"/>
    <w:rsid w:val="00E315FD"/>
    <w:rsid w:val="00E35994"/>
    <w:rsid w:val="00E4215D"/>
    <w:rsid w:val="00E463ED"/>
    <w:rsid w:val="00E54826"/>
    <w:rsid w:val="00E54997"/>
    <w:rsid w:val="00E55664"/>
    <w:rsid w:val="00E559C1"/>
    <w:rsid w:val="00E55B1A"/>
    <w:rsid w:val="00E56055"/>
    <w:rsid w:val="00EB0E44"/>
    <w:rsid w:val="00EB400A"/>
    <w:rsid w:val="00EB47F7"/>
    <w:rsid w:val="00EB4A79"/>
    <w:rsid w:val="00EB6A99"/>
    <w:rsid w:val="00EC743A"/>
    <w:rsid w:val="00ED1498"/>
    <w:rsid w:val="00ED798D"/>
    <w:rsid w:val="00EE1CC3"/>
    <w:rsid w:val="00EE2C82"/>
    <w:rsid w:val="00F01256"/>
    <w:rsid w:val="00F1176A"/>
    <w:rsid w:val="00F14A4B"/>
    <w:rsid w:val="00F1668A"/>
    <w:rsid w:val="00F1690E"/>
    <w:rsid w:val="00F30491"/>
    <w:rsid w:val="00F45DDD"/>
    <w:rsid w:val="00F46E9E"/>
    <w:rsid w:val="00F66ABB"/>
    <w:rsid w:val="00F66FC2"/>
    <w:rsid w:val="00F6783B"/>
    <w:rsid w:val="00F70D3B"/>
    <w:rsid w:val="00F854D8"/>
    <w:rsid w:val="00F96283"/>
    <w:rsid w:val="00F97890"/>
    <w:rsid w:val="00FB1FE6"/>
    <w:rsid w:val="00FB7797"/>
    <w:rsid w:val="00FC7A6C"/>
    <w:rsid w:val="00FD2AA2"/>
    <w:rsid w:val="00FE1ADF"/>
    <w:rsid w:val="00FE29DB"/>
    <w:rsid w:val="02394528"/>
    <w:rsid w:val="3DF30846"/>
    <w:rsid w:val="412F5BF9"/>
    <w:rsid w:val="47236D85"/>
    <w:rsid w:val="50D94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1"/>
    <w:qFormat/>
    <w:uiPriority w:val="0"/>
    <w:pPr>
      <w:ind w:left="100" w:leftChars="2500"/>
    </w:p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paragraph" w:customStyle="1" w:styleId="9">
    <w:name w:val="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10">
    <w:name w:val="页脚 Char"/>
    <w:basedOn w:val="6"/>
    <w:link w:val="4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1">
    <w:name w:val="日期 Char"/>
    <w:basedOn w:val="6"/>
    <w:link w:val="2"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5</Pages>
  <Words>399</Words>
  <Characters>2276</Characters>
  <Lines>18</Lines>
  <Paragraphs>5</Paragraphs>
  <TotalTime>0</TotalTime>
  <ScaleCrop>false</ScaleCrop>
  <LinksUpToDate>false</LinksUpToDate>
  <CharactersWithSpaces>2670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2017-11-13T03:43:00Z</dcterms:created>
  <dc:creator>秋天</dc:creator>
  <cp:lastModifiedBy>TF-PC</cp:lastModifiedBy>
  <cp:lastPrinted>2017-11-13T00:39:00Z</cp:lastPrinted>
  <dcterms:modified xsi:type="dcterms:W3CDTF">2018-08-27T09:40:16Z</dcterms:modified>
  <dc:title>天津市津南区人民法院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