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sz w:val="32"/>
        </w:rPr>
      </w:pPr>
      <w:bookmarkStart w:id="0" w:name="_GoBack"/>
      <w:bookmarkEnd w:id="0"/>
    </w:p>
    <w:p>
      <w:pPr>
        <w:pStyle w:val="7"/>
        <w:rPr>
          <w:sz w:val="32"/>
        </w:rPr>
      </w:pPr>
    </w:p>
    <w:p>
      <w:pPr>
        <w:pStyle w:val="7"/>
        <w:rPr>
          <w:rFonts w:hint="eastAsia"/>
        </w:rPr>
      </w:pPr>
      <w:r>
        <w:rPr>
          <w:rFonts w:hint="eastAsia"/>
        </w:rPr>
        <w:t>天津市宁河区人民法院</w:t>
      </w:r>
    </w:p>
    <w:p>
      <w:pPr>
        <w:pStyle w:val="20"/>
        <w:rPr>
          <w:rFonts w:hint="eastAsia"/>
        </w:rPr>
      </w:pPr>
      <w:r>
        <w:rPr>
          <w:rFonts w:hint="eastAsia"/>
        </w:rPr>
        <w:t>刑事判决书</w:t>
      </w:r>
    </w:p>
    <w:p>
      <w:pPr>
        <w:pStyle w:val="14"/>
        <w:ind w:right="632"/>
      </w:pPr>
    </w:p>
    <w:p>
      <w:pPr>
        <w:pStyle w:val="14"/>
        <w:ind w:right="632"/>
        <w:rPr>
          <w:rFonts w:hint="eastAsia"/>
        </w:rPr>
      </w:pPr>
      <w:r>
        <w:rPr>
          <w:rFonts w:hint="eastAsia"/>
        </w:rPr>
        <w:t xml:space="preserve"> (2018)津0117刑初2</w:t>
      </w:r>
      <w:r>
        <w:rPr>
          <w:rFonts w:hint="eastAsia"/>
          <w:lang w:val="en-US" w:eastAsia="zh-CN"/>
        </w:rPr>
        <w:t>51</w:t>
      </w:r>
      <w:r>
        <w:rPr>
          <w:rFonts w:hint="eastAsia"/>
        </w:rPr>
        <w:t>号</w:t>
      </w:r>
    </w:p>
    <w:p/>
    <w:p>
      <w:pPr>
        <w:pStyle w:val="12"/>
        <w:ind w:firstLine="632"/>
        <w:rPr>
          <w:rFonts w:hint="eastAsia"/>
        </w:rPr>
      </w:pPr>
      <w:r>
        <w:rPr>
          <w:rFonts w:hint="eastAsia"/>
        </w:rPr>
        <w:t>公诉机关天津市宁河区人民检察院。</w:t>
      </w:r>
    </w:p>
    <w:p>
      <w:pPr>
        <w:pStyle w:val="16"/>
        <w:ind w:firstLine="632"/>
        <w:rPr>
          <w:rFonts w:hint="eastAsia"/>
        </w:rPr>
      </w:pPr>
      <w:r>
        <w:rPr>
          <w:rFonts w:hint="eastAsia"/>
        </w:rPr>
        <w:t>被告人郑永柱，男，1975年1月3日出生，公民身份号码120221197501032839</w:t>
      </w:r>
      <w:r>
        <w:rPr>
          <w:rFonts w:hint="eastAsia"/>
          <w:lang w:eastAsia="zh-CN"/>
        </w:rPr>
        <w:t>，</w:t>
      </w:r>
      <w:r>
        <w:rPr>
          <w:rFonts w:hint="eastAsia"/>
        </w:rPr>
        <w:t>汉族</w:t>
      </w:r>
      <w:r>
        <w:rPr>
          <w:rFonts w:hint="eastAsia"/>
          <w:lang w:eastAsia="zh-CN"/>
        </w:rPr>
        <w:t>，</w:t>
      </w:r>
      <w:r>
        <w:rPr>
          <w:rFonts w:hint="eastAsia"/>
        </w:rPr>
        <w:t>初中文化，个体经营者，住天津市宁河区北淮淀镇北淮淀村一区4排56号。2018年</w:t>
      </w:r>
      <w:r>
        <w:rPr>
          <w:rFonts w:hint="eastAsia"/>
          <w:lang w:val="en-US" w:eastAsia="zh-CN"/>
        </w:rPr>
        <w:t>2月7日因涉嫌信用卡诈骗罪被天津市公安局宁河分局取保候审。</w:t>
      </w:r>
      <w:r>
        <w:rPr>
          <w:rFonts w:hint="eastAsia"/>
        </w:rPr>
        <w:t>2018年</w:t>
      </w:r>
      <w:r>
        <w:rPr>
          <w:rFonts w:hint="eastAsia"/>
          <w:lang w:val="en-US" w:eastAsia="zh-CN"/>
        </w:rPr>
        <w:t>5</w:t>
      </w:r>
      <w:r>
        <w:rPr>
          <w:rFonts w:hint="eastAsia"/>
        </w:rPr>
        <w:t>月</w:t>
      </w:r>
      <w:r>
        <w:rPr>
          <w:rFonts w:hint="eastAsia"/>
          <w:lang w:val="en-US" w:eastAsia="zh-CN"/>
        </w:rPr>
        <w:t>18</w:t>
      </w:r>
      <w:r>
        <w:rPr>
          <w:rFonts w:hint="eastAsia"/>
        </w:rPr>
        <w:t>日经本院决定取保候审。现在居住地候审。</w:t>
      </w:r>
    </w:p>
    <w:p>
      <w:pPr>
        <w:pStyle w:val="16"/>
        <w:ind w:firstLine="632"/>
        <w:rPr>
          <w:rFonts w:hint="eastAsia"/>
        </w:rPr>
      </w:pPr>
      <w:r>
        <w:rPr>
          <w:rFonts w:hint="eastAsia"/>
        </w:rPr>
        <w:t>天津市宁河区人民检察院以津宁检公诉刑诉[2018]2</w:t>
      </w:r>
      <w:r>
        <w:rPr>
          <w:rFonts w:hint="eastAsia"/>
          <w:lang w:val="en-US" w:eastAsia="zh-CN"/>
        </w:rPr>
        <w:t>39</w:t>
      </w:r>
      <w:r>
        <w:rPr>
          <w:rFonts w:hint="eastAsia"/>
        </w:rPr>
        <w:t>号起诉书指控被告人</w:t>
      </w:r>
      <w:r>
        <w:rPr>
          <w:rFonts w:hint="eastAsia"/>
          <w:lang w:eastAsia="zh-CN"/>
        </w:rPr>
        <w:t>郑永柱</w:t>
      </w:r>
      <w:r>
        <w:rPr>
          <w:rFonts w:hint="eastAsia"/>
        </w:rPr>
        <w:t>犯信用卡诈骗罪。本院依法适用刑事案件速裁程序，公开开庭审理了本案。</w:t>
      </w:r>
    </w:p>
    <w:p>
      <w:pPr>
        <w:pStyle w:val="16"/>
        <w:ind w:firstLine="632"/>
        <w:rPr>
          <w:rFonts w:hint="eastAsia"/>
          <w:lang w:eastAsia="zh-CN"/>
        </w:rPr>
      </w:pPr>
      <w:r>
        <w:rPr>
          <w:rFonts w:hint="eastAsia"/>
        </w:rPr>
        <w:t>经刑事速裁程序审理查明，2016年7月11日，被告人郑永柱用本人身份信息等资料在中国农业银行宁河支行办理卡号为6228370240142588的信用卡一张，后郑永柱持此卡透支钱款用于日常开销和生意经营。2016年12月19日被告人郑永柱最后一次还款后未再还款，经银行多次催缴后仍未还款。</w:t>
      </w:r>
      <w:r>
        <w:rPr>
          <w:rFonts w:hint="eastAsia"/>
          <w:lang w:eastAsia="zh-CN"/>
        </w:rPr>
        <w:t>截止2017年6月23日，被告人郑永柱持该卡欠银行本金人民币19625.62元。</w:t>
      </w:r>
    </w:p>
    <w:p>
      <w:pPr>
        <w:pStyle w:val="16"/>
        <w:ind w:firstLine="632"/>
        <w:rPr>
          <w:rFonts w:hint="eastAsia"/>
        </w:rPr>
      </w:pPr>
      <w:r>
        <w:rPr>
          <w:rFonts w:hint="eastAsia"/>
          <w:lang w:eastAsia="zh-CN"/>
        </w:rPr>
        <w:t>2018年2月7日，被告人郑永柱被公安机关传唤到案。案发后，被告人郑永柱已向银行付清全部欠款。</w:t>
      </w:r>
    </w:p>
    <w:p>
      <w:pPr>
        <w:pStyle w:val="16"/>
        <w:ind w:firstLine="632"/>
        <w:rPr>
          <w:rFonts w:hint="eastAsia"/>
        </w:rPr>
      </w:pPr>
      <w:r>
        <w:rPr>
          <w:rFonts w:hint="eastAsia"/>
        </w:rPr>
        <w:t>上述事实，有案件来源、到案经过、证人证言、被告人供述和辩解、</w:t>
      </w:r>
      <w:r>
        <w:rPr>
          <w:rFonts w:hint="eastAsia"/>
          <w:lang w:eastAsia="zh-CN"/>
        </w:rPr>
        <w:t>被害人陈述、</w:t>
      </w:r>
      <w:r>
        <w:rPr>
          <w:rFonts w:hint="eastAsia"/>
        </w:rPr>
        <w:t>举报材料、中国农业银行信用卡申请表等信用卡办理资料</w:t>
      </w:r>
      <w:r>
        <w:rPr>
          <w:rFonts w:hint="eastAsia"/>
          <w:lang w:eastAsia="zh-CN"/>
        </w:rPr>
        <w:t>及说明材料</w:t>
      </w:r>
      <w:r>
        <w:rPr>
          <w:rFonts w:hint="eastAsia"/>
        </w:rPr>
        <w:t>、账户催收基本资料、催收账户交易历史记录、催收账户催收历史记录、中国农业银行还款凭证、还款说明、居民信息表、情况说明、认罪认罚具结书等证据证实，足以认定。</w:t>
      </w:r>
    </w:p>
    <w:p>
      <w:pPr>
        <w:pStyle w:val="16"/>
        <w:ind w:firstLine="632"/>
        <w:rPr>
          <w:rFonts w:hint="eastAsia"/>
        </w:rPr>
      </w:pPr>
      <w:r>
        <w:rPr>
          <w:rFonts w:hint="eastAsia"/>
        </w:rPr>
        <w:t>本院认为，被告人</w:t>
      </w:r>
      <w:r>
        <w:rPr>
          <w:rFonts w:hint="eastAsia"/>
          <w:lang w:eastAsia="zh-CN"/>
        </w:rPr>
        <w:t>郑永柱</w:t>
      </w:r>
      <w:r>
        <w:rPr>
          <w:rFonts w:hint="eastAsia"/>
        </w:rPr>
        <w:t>进行信用卡诈骗活动，恶意透支，数额较大，应当以信用卡诈骗罪追究其刑事责任。公诉机关指控被告人</w:t>
      </w:r>
      <w:r>
        <w:rPr>
          <w:rFonts w:hint="eastAsia"/>
          <w:lang w:eastAsia="zh-CN"/>
        </w:rPr>
        <w:t>郑永柱</w:t>
      </w:r>
      <w:r>
        <w:rPr>
          <w:rFonts w:hint="eastAsia"/>
        </w:rPr>
        <w:t>犯信用卡诈骗罪事实清楚，证据确实、充分，罪名成立。被告人</w:t>
      </w:r>
      <w:r>
        <w:rPr>
          <w:rFonts w:hint="eastAsia"/>
          <w:lang w:eastAsia="zh-CN"/>
        </w:rPr>
        <w:t>郑永柱</w:t>
      </w:r>
      <w:r>
        <w:rPr>
          <w:rFonts w:hint="eastAsia"/>
        </w:rPr>
        <w:t>到案以后如实供述自己的罪行，具有坦白情节，认罪认罚</w:t>
      </w:r>
      <w:r>
        <w:rPr>
          <w:rFonts w:hint="eastAsia"/>
          <w:lang w:eastAsia="zh-CN"/>
        </w:rPr>
        <w:t>并付清全部欠款</w:t>
      </w:r>
      <w:r>
        <w:rPr>
          <w:rFonts w:hint="eastAsia"/>
        </w:rPr>
        <w:t>，可以从轻处罚。依照《中华人民共和国刑法》第一百九十六条第一款（四）项、第六十七条第三款、第七十二条第一款、第七十六条的规定，判决如下：</w:t>
      </w:r>
    </w:p>
    <w:p>
      <w:pPr>
        <w:pStyle w:val="16"/>
        <w:ind w:firstLine="632"/>
        <w:rPr>
          <w:rFonts w:hint="eastAsia"/>
        </w:rPr>
      </w:pPr>
      <w:r>
        <w:rPr>
          <w:rFonts w:hint="eastAsia"/>
        </w:rPr>
        <w:t>被告人</w:t>
      </w:r>
      <w:r>
        <w:rPr>
          <w:rFonts w:hint="eastAsia"/>
          <w:lang w:eastAsia="zh-CN"/>
        </w:rPr>
        <w:t>郑永柱</w:t>
      </w:r>
      <w:r>
        <w:rPr>
          <w:rFonts w:hint="eastAsia"/>
        </w:rPr>
        <w:t>犯信用卡诈骗罪，判处有期徒刑</w:t>
      </w:r>
      <w:r>
        <w:rPr>
          <w:rFonts w:hint="eastAsia"/>
          <w:lang w:eastAsia="zh-CN"/>
        </w:rPr>
        <w:t>六个月</w:t>
      </w:r>
      <w:r>
        <w:rPr>
          <w:rFonts w:hint="eastAsia"/>
        </w:rPr>
        <w:t>，缓刑</w:t>
      </w:r>
      <w:r>
        <w:rPr>
          <w:rFonts w:hint="eastAsia"/>
          <w:lang w:eastAsia="zh-CN"/>
        </w:rPr>
        <w:t>一</w:t>
      </w:r>
      <w:r>
        <w:rPr>
          <w:rFonts w:hint="eastAsia"/>
        </w:rPr>
        <w:t>年，并处罚金</w:t>
      </w:r>
      <w:r>
        <w:rPr>
          <w:rFonts w:hint="eastAsia"/>
          <w:lang w:val="en-US" w:eastAsia="zh-CN"/>
        </w:rPr>
        <w:t>20000</w:t>
      </w:r>
      <w:r>
        <w:rPr>
          <w:rFonts w:hint="eastAsia"/>
        </w:rPr>
        <w:t>元（缓刑考验期自判决确定之日起计算，对宣告缓刑的犯罪分子，在缓刑考验期限内，依法实行社区矫正）。</w:t>
      </w:r>
    </w:p>
    <w:p>
      <w:pPr>
        <w:pStyle w:val="16"/>
        <w:ind w:firstLine="632"/>
        <w:rPr>
          <w:rFonts w:hint="eastAsia"/>
        </w:rPr>
      </w:pPr>
      <w:r>
        <w:rPr>
          <w:rFonts w:hint="eastAsia"/>
        </w:rPr>
        <w:t>上述罚金于本判决生效后十日内给付。</w:t>
      </w:r>
    </w:p>
    <w:p>
      <w:pPr>
        <w:pStyle w:val="21"/>
        <w:ind w:firstLine="632"/>
      </w:pPr>
      <w:r>
        <w:rPr>
          <w:rFonts w:hint="eastAsia"/>
        </w:rPr>
        <w:t>如不服本判决，可在接到本判决书的第二日起十日内，通过本院或者直接向天津市第二中级人民法院提出上诉。书面上诉的，应提交上诉状正本一份，副本一份</w:t>
      </w:r>
      <w:r>
        <w:rPr>
          <w:rFonts w:hint="eastAsia"/>
          <w:lang w:eastAsia="zh-CN"/>
        </w:rPr>
        <w:t>。</w:t>
      </w:r>
    </w:p>
    <w:p/>
    <w:p>
      <w:pPr>
        <w:pStyle w:val="10"/>
        <w:ind w:right="632"/>
        <w:rPr>
          <w:rFonts w:hint="eastAsia"/>
        </w:rPr>
      </w:pPr>
      <w:r>
        <w:rPr>
          <w:rFonts w:hint="eastAsia"/>
        </w:rPr>
        <w:t>审　　判　　员　　　</w:t>
      </w:r>
      <w:r>
        <w:rPr>
          <w:rFonts w:hint="eastAsia"/>
          <w:lang w:eastAsia="zh-CN"/>
        </w:rPr>
        <w:t>汪卫军</w:t>
      </w:r>
    </w:p>
    <w:p>
      <w:pPr>
        <w:pStyle w:val="19"/>
        <w:ind w:right="632"/>
      </w:pPr>
    </w:p>
    <w:p>
      <w:pPr>
        <w:pStyle w:val="19"/>
        <w:ind w:right="632"/>
        <w:jc w:val="both"/>
      </w:pPr>
    </w:p>
    <w:p>
      <w:pPr>
        <w:pStyle w:val="19"/>
        <w:ind w:right="632"/>
      </w:pPr>
    </w:p>
    <w:p>
      <w:pPr>
        <w:pStyle w:val="19"/>
        <w:ind w:right="632"/>
        <w:rPr>
          <w:rFonts w:hint="eastAsia"/>
        </w:rPr>
      </w:pPr>
      <w:r>
        <w:rPr>
          <w:rFonts w:hint="eastAsia"/>
        </w:rPr>
        <w:t>二</w:t>
      </w:r>
      <w:r>
        <w:rPr>
          <w:rFonts w:hint="eastAsia" w:ascii="宋体" w:hAnsi="宋体" w:eastAsia="宋体" w:cs="宋体"/>
        </w:rPr>
        <w:t>〇</w:t>
      </w:r>
      <w:r>
        <w:rPr>
          <w:rFonts w:hint="eastAsia"/>
        </w:rPr>
        <w:t>一八年五月</w:t>
      </w:r>
      <w:r>
        <w:rPr>
          <w:rFonts w:hint="eastAsia"/>
          <w:lang w:eastAsia="zh-CN"/>
        </w:rPr>
        <w:t>二十九</w:t>
      </w:r>
      <w:r>
        <w:rPr>
          <w:rFonts w:hint="eastAsia"/>
        </w:rPr>
        <w:t>日</w:t>
      </w:r>
    </w:p>
    <w:p/>
    <w:p>
      <w:pPr>
        <w:pStyle w:val="13"/>
        <w:ind w:right="632"/>
        <w:rPr>
          <w:rFonts w:hint="eastAsia"/>
        </w:rPr>
      </w:pPr>
      <w:r>
        <w:rPr>
          <w:rFonts w:hint="eastAsia"/>
        </w:rPr>
        <w:t>书　　记　　员　　　</w:t>
      </w:r>
      <w:r>
        <w:rPr>
          <w:rFonts w:hint="eastAsia"/>
          <w:lang w:eastAsia="zh-CN"/>
        </w:rPr>
        <w:t>于娟娟</w:t>
      </w:r>
    </w:p>
    <w:p>
      <w:pPr>
        <w:pStyle w:val="17"/>
        <w:ind w:firstLine="632"/>
        <w:rPr>
          <w:rFonts w:hint="eastAsia"/>
        </w:rPr>
      </w:pPr>
      <w:r>
        <w:rPr>
          <w:rFonts w:hint="eastAsia"/>
        </w:rPr>
        <w:t>附本裁判文书依据的相关法律条文：</w:t>
      </w:r>
    </w:p>
    <w:p>
      <w:pPr>
        <w:pStyle w:val="11"/>
        <w:ind w:firstLine="632"/>
        <w:rPr>
          <w:rFonts w:hint="eastAsia"/>
        </w:rPr>
      </w:pPr>
      <w:r>
        <w:rPr>
          <w:rFonts w:hint="eastAsia"/>
        </w:rPr>
        <w:t>《中华人民共和国刑法》</w:t>
      </w:r>
    </w:p>
    <w:p>
      <w:pPr>
        <w:pStyle w:val="15"/>
        <w:ind w:firstLine="632"/>
        <w:rPr>
          <w:rFonts w:hint="eastAsia"/>
        </w:rPr>
      </w:pPr>
      <w:r>
        <w:rPr>
          <w:rFonts w:hint="eastAsia"/>
        </w:rPr>
        <w:t xml:space="preserve">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 </w:t>
      </w:r>
      <w:r>
        <w:rPr>
          <w:rFonts w:hint="eastAsia"/>
        </w:rPr>
        <w:br w:type="textWrapping"/>
      </w:r>
      <w:r>
        <w:rPr>
          <w:rFonts w:hint="eastAsia"/>
        </w:rPr>
        <w:t xml:space="preserve">　　(一)使用伪造的信用卡，或者使用以虚假的身份证明骗领的信用卡的； </w:t>
      </w:r>
      <w:r>
        <w:rPr>
          <w:rFonts w:hint="eastAsia"/>
        </w:rPr>
        <w:br w:type="textWrapping"/>
      </w:r>
      <w:r>
        <w:rPr>
          <w:rFonts w:hint="eastAsia"/>
        </w:rPr>
        <w:t xml:space="preserve">　　(二)使用作废的信用卡的； </w:t>
      </w:r>
      <w:r>
        <w:rPr>
          <w:rFonts w:hint="eastAsia"/>
        </w:rPr>
        <w:br w:type="textWrapping"/>
      </w:r>
      <w:r>
        <w:rPr>
          <w:rFonts w:hint="eastAsia"/>
        </w:rPr>
        <w:t xml:space="preserve">　　(三)冒用他人信用卡的； </w:t>
      </w:r>
      <w:r>
        <w:rPr>
          <w:rFonts w:hint="eastAsia"/>
        </w:rPr>
        <w:br w:type="textWrapping"/>
      </w:r>
      <w:r>
        <w:rPr>
          <w:rFonts w:hint="eastAsia"/>
        </w:rPr>
        <w:t xml:space="preserve">　　(四)恶意透支的。 </w:t>
      </w:r>
      <w:r>
        <w:rPr>
          <w:rFonts w:hint="eastAsia"/>
        </w:rPr>
        <w:br w:type="textWrapping"/>
      </w:r>
      <w:r>
        <w:rPr>
          <w:rFonts w:hint="eastAsia"/>
        </w:rPr>
        <w:t>　　前款所称恶意透支，是指持卡人以非法占有为目的，超过规定限额或者规定期限透支，并且经发卡银行催收后仍不归还的行为。</w:t>
      </w:r>
      <w:r>
        <w:rPr>
          <w:rFonts w:hint="eastAsia" w:hAnsi="宋体" w:cs="宋体"/>
          <w:color w:val="333333"/>
          <w:sz w:val="24"/>
          <w:szCs w:val="24"/>
        </w:rPr>
        <w:t xml:space="preserve"> </w:t>
      </w:r>
      <w:r>
        <w:rPr>
          <w:rFonts w:hint="eastAsia" w:hAnsi="宋体" w:cs="宋体"/>
          <w:color w:val="333333"/>
          <w:sz w:val="24"/>
          <w:szCs w:val="24"/>
        </w:rPr>
        <w:br w:type="textWrapping"/>
      </w:r>
      <w:r>
        <w:rPr>
          <w:rFonts w:hint="eastAsia"/>
        </w:rPr>
        <w:t xml:space="preserve">    第六十七条犯罪以后自动投案，如实供述自己的罪行的，是自首。对于自首的犯罪分子，可以从轻或者减轻处罚。其中，犯罪较轻的，可以免除处罚。</w:t>
      </w:r>
    </w:p>
    <w:p>
      <w:pPr>
        <w:pStyle w:val="15"/>
        <w:ind w:firstLine="632"/>
        <w:rPr>
          <w:rFonts w:hint="eastAsia"/>
        </w:rPr>
      </w:pPr>
      <w:r>
        <w:rPr>
          <w:rFonts w:hint="eastAsia"/>
        </w:rPr>
        <w:t>被采取强制措施的犯罪嫌疑人、被告人和正在服刑的罪犯，如实供述司法机关还未掌握的本人其他罪行的，以自首论。</w:t>
      </w:r>
    </w:p>
    <w:p>
      <w:pPr>
        <w:pStyle w:val="15"/>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9"/>
        <w:ind w:firstLine="632"/>
      </w:pPr>
      <w:r>
        <w:rPr>
          <w:rFonts w:hint="eastAsia"/>
        </w:rPr>
        <w:t>第七十二条对于被判处拘役、三年以下有期徒刑的犯罪分子，同时符合下列条件的，可以宣告缓刑，对其中不满十八周岁的人、怀孕的妇女和已满七十五周岁的人，应当宣告缓刑：</w:t>
      </w:r>
    </w:p>
    <w:p>
      <w:pPr>
        <w:pStyle w:val="9"/>
        <w:ind w:firstLine="632"/>
      </w:pPr>
      <w:r>
        <w:rPr>
          <w:rFonts w:hint="eastAsia"/>
        </w:rPr>
        <w:t>（一）犯罪情节较轻；</w:t>
      </w:r>
    </w:p>
    <w:p>
      <w:pPr>
        <w:pStyle w:val="9"/>
        <w:ind w:firstLine="632"/>
      </w:pPr>
      <w:r>
        <w:rPr>
          <w:rFonts w:hint="eastAsia"/>
        </w:rPr>
        <w:t>（二）有悔罪表现；</w:t>
      </w:r>
    </w:p>
    <w:p>
      <w:pPr>
        <w:pStyle w:val="9"/>
        <w:ind w:firstLine="632"/>
      </w:pPr>
      <w:r>
        <w:rPr>
          <w:rFonts w:hint="eastAsia"/>
        </w:rPr>
        <w:t>（三）没有再犯罪的危险；</w:t>
      </w:r>
    </w:p>
    <w:p>
      <w:pPr>
        <w:pStyle w:val="9"/>
        <w:ind w:firstLine="632"/>
      </w:pPr>
      <w:r>
        <w:rPr>
          <w:rFonts w:hint="eastAsia"/>
        </w:rPr>
        <w:t>（四）宣告缓刑对所居住社区没有重大不良影响。</w:t>
      </w:r>
    </w:p>
    <w:p>
      <w:pPr>
        <w:pStyle w:val="9"/>
        <w:ind w:firstLine="632"/>
      </w:pPr>
      <w:r>
        <w:rPr>
          <w:rFonts w:hint="eastAsia"/>
        </w:rPr>
        <w:t>宣告缓刑，可以根据犯罪情况，同时禁止犯罪分子在缓刑考验期限内从事特定活动，进入特定区域、场所，接触特定的人。</w:t>
      </w:r>
    </w:p>
    <w:p>
      <w:pPr>
        <w:pStyle w:val="9"/>
        <w:ind w:firstLine="632"/>
      </w:pPr>
      <w:r>
        <w:rPr>
          <w:rFonts w:hint="eastAsia"/>
        </w:rPr>
        <w:t>被宣告缓刑的犯罪分子，如果被判处附加刑，附加刑仍须执行。</w:t>
      </w:r>
    </w:p>
    <w:p>
      <w:pPr>
        <w:pStyle w:val="18"/>
        <w:ind w:firstLine="632"/>
      </w:pPr>
      <w:r>
        <w:rPr>
          <w:rFonts w:hint="eastAsia"/>
        </w:rPr>
        <w:t>第七十六条对宣告缓刑的犯罪分子，在缓刑考验期限内，依法实行社区矫正，如果没有本法第七十七条规定的情形，缓刑考验期满，原判的刑罚就不再执行，并公开予以宣告。</w:t>
      </w:r>
    </w:p>
    <w:p>
      <w:pPr>
        <w:rPr>
          <w:rFonts w:hint="eastAsia"/>
        </w:rPr>
      </w:pPr>
    </w:p>
    <w:sectPr>
      <w:footerReference r:id="rId3" w:type="default"/>
      <w:footerReference r:id="rId4" w:type="even"/>
      <w:pgSz w:w="11906" w:h="16838"/>
      <w:pgMar w:top="2040" w:right="1530" w:bottom="2040" w:left="1530" w:header="794" w:footer="1644" w:gutter="0"/>
      <w:pgNumType w:fmt="numberInDash" w:start="1"/>
      <w:cols w:space="720" w:num="1"/>
      <w:titlePg/>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Fonts w:ascii="宋体" w:hAnsi="宋体" w:eastAsia="宋体"/>
        <w:sz w:val="28"/>
      </w:rPr>
      <w:fldChar w:fldCharType="begin"/>
    </w:r>
    <w:r>
      <w:rPr>
        <w:rStyle w:val="5"/>
        <w:rFonts w:ascii="宋体" w:hAnsi="宋体" w:eastAsia="宋体"/>
        <w:sz w:val="28"/>
      </w:rPr>
      <w:instrText xml:space="preserve">PAGE  </w:instrText>
    </w:r>
    <w:r>
      <w:rPr>
        <w:rFonts w:ascii="宋体" w:hAnsi="宋体" w:eastAsia="宋体"/>
        <w:sz w:val="28"/>
      </w:rPr>
      <w:fldChar w:fldCharType="separate"/>
    </w:r>
    <w:r>
      <w:rPr>
        <w:rStyle w:val="5"/>
        <w:rFonts w:ascii="宋体" w:hAnsi="宋体" w:eastAsia="宋体"/>
        <w:sz w:val="28"/>
      </w:rPr>
      <w:t>- 3 -</w:t>
    </w:r>
    <w:r>
      <w:rPr>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Fonts w:ascii="宋体" w:hAnsi="宋体" w:eastAsia="宋体"/>
        <w:sz w:val="28"/>
      </w:rPr>
      <w:fldChar w:fldCharType="begin"/>
    </w:r>
    <w:r>
      <w:rPr>
        <w:rStyle w:val="5"/>
        <w:rFonts w:ascii="宋体" w:hAnsi="宋体" w:eastAsia="宋体"/>
        <w:sz w:val="28"/>
      </w:rPr>
      <w:instrText xml:space="preserve">PAGE  </w:instrText>
    </w:r>
    <w:r>
      <w:rPr>
        <w:rFonts w:ascii="宋体" w:hAnsi="宋体" w:eastAsia="宋体"/>
        <w:sz w:val="28"/>
      </w:rPr>
      <w:fldChar w:fldCharType="separate"/>
    </w:r>
    <w:r>
      <w:rPr>
        <w:rStyle w:val="5"/>
        <w:rFonts w:ascii="宋体" w:hAnsi="宋体" w:eastAsia="宋体"/>
        <w:sz w:val="28"/>
      </w:rPr>
      <w:t>- 4 -</w:t>
    </w:r>
    <w:r>
      <w:rPr>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31D22EFB"/>
    <w:rsid w:val="0000018E"/>
    <w:rsid w:val="00042A1F"/>
    <w:rsid w:val="000A1CFB"/>
    <w:rsid w:val="000B2E39"/>
    <w:rsid w:val="000D0BA2"/>
    <w:rsid w:val="001050AC"/>
    <w:rsid w:val="00155E3C"/>
    <w:rsid w:val="00184AAD"/>
    <w:rsid w:val="001A03CE"/>
    <w:rsid w:val="001D2BD0"/>
    <w:rsid w:val="00200539"/>
    <w:rsid w:val="002359C4"/>
    <w:rsid w:val="002401DE"/>
    <w:rsid w:val="002668E9"/>
    <w:rsid w:val="00270A6C"/>
    <w:rsid w:val="002A2D86"/>
    <w:rsid w:val="002B547B"/>
    <w:rsid w:val="002E32CC"/>
    <w:rsid w:val="0030282D"/>
    <w:rsid w:val="00302C5A"/>
    <w:rsid w:val="00326105"/>
    <w:rsid w:val="003378AE"/>
    <w:rsid w:val="00353071"/>
    <w:rsid w:val="0035326A"/>
    <w:rsid w:val="00373654"/>
    <w:rsid w:val="003A4F9B"/>
    <w:rsid w:val="003B068B"/>
    <w:rsid w:val="003B4EA6"/>
    <w:rsid w:val="003C56E6"/>
    <w:rsid w:val="004168E9"/>
    <w:rsid w:val="0044003E"/>
    <w:rsid w:val="004474AE"/>
    <w:rsid w:val="00447F9B"/>
    <w:rsid w:val="004801C2"/>
    <w:rsid w:val="00484F39"/>
    <w:rsid w:val="004C3921"/>
    <w:rsid w:val="005304F4"/>
    <w:rsid w:val="00545EB3"/>
    <w:rsid w:val="00563DE8"/>
    <w:rsid w:val="0057591E"/>
    <w:rsid w:val="005953C0"/>
    <w:rsid w:val="00596E99"/>
    <w:rsid w:val="005A1980"/>
    <w:rsid w:val="005A6021"/>
    <w:rsid w:val="005B51F4"/>
    <w:rsid w:val="00601F9B"/>
    <w:rsid w:val="00643A3C"/>
    <w:rsid w:val="0064577C"/>
    <w:rsid w:val="006670F9"/>
    <w:rsid w:val="006D1DA9"/>
    <w:rsid w:val="006F63B6"/>
    <w:rsid w:val="0073651F"/>
    <w:rsid w:val="00792B61"/>
    <w:rsid w:val="007C6572"/>
    <w:rsid w:val="007F0072"/>
    <w:rsid w:val="00822E94"/>
    <w:rsid w:val="00854191"/>
    <w:rsid w:val="00857E0E"/>
    <w:rsid w:val="009312EC"/>
    <w:rsid w:val="009319A5"/>
    <w:rsid w:val="00954270"/>
    <w:rsid w:val="00961D43"/>
    <w:rsid w:val="00966F34"/>
    <w:rsid w:val="00994494"/>
    <w:rsid w:val="009D6C11"/>
    <w:rsid w:val="00A0465C"/>
    <w:rsid w:val="00A506FF"/>
    <w:rsid w:val="00A67E8A"/>
    <w:rsid w:val="00A855C5"/>
    <w:rsid w:val="00AB1848"/>
    <w:rsid w:val="00AC492C"/>
    <w:rsid w:val="00AD70EA"/>
    <w:rsid w:val="00AE42CB"/>
    <w:rsid w:val="00AE78B7"/>
    <w:rsid w:val="00B05194"/>
    <w:rsid w:val="00B41686"/>
    <w:rsid w:val="00B46D63"/>
    <w:rsid w:val="00B62493"/>
    <w:rsid w:val="00BA1BD7"/>
    <w:rsid w:val="00BA654C"/>
    <w:rsid w:val="00BA7C18"/>
    <w:rsid w:val="00BB67E0"/>
    <w:rsid w:val="00C04200"/>
    <w:rsid w:val="00C22AE2"/>
    <w:rsid w:val="00C231F3"/>
    <w:rsid w:val="00C72D74"/>
    <w:rsid w:val="00C935A8"/>
    <w:rsid w:val="00CB4F34"/>
    <w:rsid w:val="00CD1E74"/>
    <w:rsid w:val="00D07283"/>
    <w:rsid w:val="00D1432C"/>
    <w:rsid w:val="00D17F7C"/>
    <w:rsid w:val="00D23C19"/>
    <w:rsid w:val="00DE4E7C"/>
    <w:rsid w:val="00E20374"/>
    <w:rsid w:val="00E542D4"/>
    <w:rsid w:val="00E65DBC"/>
    <w:rsid w:val="00E77C35"/>
    <w:rsid w:val="00EA59ED"/>
    <w:rsid w:val="00ED6504"/>
    <w:rsid w:val="00EE6331"/>
    <w:rsid w:val="00EF2FD6"/>
    <w:rsid w:val="00F440DD"/>
    <w:rsid w:val="00F639DE"/>
    <w:rsid w:val="00FA2D81"/>
    <w:rsid w:val="00FA4B17"/>
    <w:rsid w:val="00FA6215"/>
    <w:rsid w:val="00FD622E"/>
    <w:rsid w:val="00FF6DA9"/>
    <w:rsid w:val="028072B9"/>
    <w:rsid w:val="030C43D9"/>
    <w:rsid w:val="05240DE4"/>
    <w:rsid w:val="0AED3C11"/>
    <w:rsid w:val="0BD55E3A"/>
    <w:rsid w:val="0F711298"/>
    <w:rsid w:val="103A24FF"/>
    <w:rsid w:val="106A3933"/>
    <w:rsid w:val="10FA5844"/>
    <w:rsid w:val="114C4FEA"/>
    <w:rsid w:val="1175109B"/>
    <w:rsid w:val="174645E2"/>
    <w:rsid w:val="1CBC3349"/>
    <w:rsid w:val="1CFF647B"/>
    <w:rsid w:val="1D1D421A"/>
    <w:rsid w:val="1EBD5378"/>
    <w:rsid w:val="1FCE5A16"/>
    <w:rsid w:val="20EC5318"/>
    <w:rsid w:val="212F0475"/>
    <w:rsid w:val="262F1ABE"/>
    <w:rsid w:val="26772869"/>
    <w:rsid w:val="269C3126"/>
    <w:rsid w:val="26BA2866"/>
    <w:rsid w:val="271E04E4"/>
    <w:rsid w:val="272C24AA"/>
    <w:rsid w:val="277C3D97"/>
    <w:rsid w:val="28487E35"/>
    <w:rsid w:val="2B330A31"/>
    <w:rsid w:val="2BC872FD"/>
    <w:rsid w:val="2C4A1627"/>
    <w:rsid w:val="2F9A7686"/>
    <w:rsid w:val="310361C4"/>
    <w:rsid w:val="3151142A"/>
    <w:rsid w:val="31D22EFB"/>
    <w:rsid w:val="34344598"/>
    <w:rsid w:val="344C372D"/>
    <w:rsid w:val="36567FBB"/>
    <w:rsid w:val="37324D35"/>
    <w:rsid w:val="379137F9"/>
    <w:rsid w:val="3865725D"/>
    <w:rsid w:val="38F2301D"/>
    <w:rsid w:val="39672E5C"/>
    <w:rsid w:val="3A5A2679"/>
    <w:rsid w:val="3A5E5659"/>
    <w:rsid w:val="3CB75295"/>
    <w:rsid w:val="3EEB3A4F"/>
    <w:rsid w:val="407A4BF8"/>
    <w:rsid w:val="40A813DA"/>
    <w:rsid w:val="40CF2A5E"/>
    <w:rsid w:val="411F03C4"/>
    <w:rsid w:val="42587E25"/>
    <w:rsid w:val="42D662F1"/>
    <w:rsid w:val="44047C7C"/>
    <w:rsid w:val="44311B97"/>
    <w:rsid w:val="45F71E59"/>
    <w:rsid w:val="4B645BE2"/>
    <w:rsid w:val="4F953A1A"/>
    <w:rsid w:val="50072064"/>
    <w:rsid w:val="50C96A42"/>
    <w:rsid w:val="52B92459"/>
    <w:rsid w:val="53F12E6C"/>
    <w:rsid w:val="568910FD"/>
    <w:rsid w:val="57A30584"/>
    <w:rsid w:val="595C1590"/>
    <w:rsid w:val="5B5C6BEF"/>
    <w:rsid w:val="5B855014"/>
    <w:rsid w:val="5B957597"/>
    <w:rsid w:val="5F1F0E92"/>
    <w:rsid w:val="621A2C82"/>
    <w:rsid w:val="62EF083C"/>
    <w:rsid w:val="65126BDC"/>
    <w:rsid w:val="68F95BC0"/>
    <w:rsid w:val="6E544C44"/>
    <w:rsid w:val="6FEE6C4C"/>
    <w:rsid w:val="71830942"/>
    <w:rsid w:val="74A90003"/>
    <w:rsid w:val="75E61F1A"/>
    <w:rsid w:val="76D34BFC"/>
    <w:rsid w:val="7713395A"/>
    <w:rsid w:val="78A90184"/>
    <w:rsid w:val="797D3540"/>
    <w:rsid w:val="7CC820D9"/>
    <w:rsid w:val="7DED34C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MS Sans Serif" w:eastAsia="仿宋_GB2312" w:cs="Times New Roman"/>
      <w:sz w:val="32"/>
      <w:szCs w:val="3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36"/>
    <w:uiPriority w:val="0"/>
    <w:pPr>
      <w:tabs>
        <w:tab w:val="center" w:pos="4153"/>
        <w:tab w:val="right" w:pos="8306"/>
      </w:tabs>
      <w:snapToGrid w:val="0"/>
      <w:jc w:val="left"/>
    </w:pPr>
    <w:rPr>
      <w:sz w:val="18"/>
      <w:szCs w:val="18"/>
    </w:rPr>
  </w:style>
  <w:style w:type="paragraph" w:styleId="3">
    <w:name w:val="header"/>
    <w:basedOn w:val="1"/>
    <w:link w:val="25"/>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paragraph" w:customStyle="1" w:styleId="7">
    <w:name w:val="lawyeeCourtName1"/>
    <w:basedOn w:val="1"/>
    <w:link w:val="23"/>
    <w:uiPriority w:val="0"/>
    <w:pPr>
      <w:spacing w:line="720" w:lineRule="exact"/>
      <w:jc w:val="center"/>
    </w:pPr>
    <w:rPr>
      <w:rFonts w:ascii="方正小标宋_GBK" w:eastAsia="方正小标宋_GBK"/>
      <w:kern w:val="2"/>
      <w:sz w:val="44"/>
    </w:rPr>
  </w:style>
  <w:style w:type="paragraph" w:customStyle="1" w:styleId="8">
    <w:name w:val="lawyeeAttachContent2"/>
    <w:basedOn w:val="1"/>
    <w:link w:val="30"/>
    <w:qFormat/>
    <w:uiPriority w:val="0"/>
    <w:pPr>
      <w:spacing w:line="520" w:lineRule="exact"/>
      <w:ind w:firstLineChars="200"/>
      <w:jc w:val="left"/>
    </w:pPr>
    <w:rPr>
      <w:kern w:val="2"/>
    </w:rPr>
  </w:style>
  <w:style w:type="paragraph" w:customStyle="1" w:styleId="9">
    <w:name w:val="lawyeeOther0"/>
    <w:basedOn w:val="1"/>
    <w:qFormat/>
    <w:uiPriority w:val="0"/>
    <w:pPr>
      <w:spacing w:line="520" w:lineRule="exact"/>
      <w:ind w:firstLineChars="200"/>
      <w:jc w:val="left"/>
    </w:pPr>
    <w:rPr>
      <w:rFonts w:ascii="仿宋_GB2312"/>
    </w:rPr>
  </w:style>
  <w:style w:type="paragraph" w:customStyle="1" w:styleId="10">
    <w:name w:val="lawyeeJudge1"/>
    <w:basedOn w:val="1"/>
    <w:link w:val="34"/>
    <w:qFormat/>
    <w:uiPriority w:val="0"/>
    <w:pPr>
      <w:spacing w:line="520" w:lineRule="exact"/>
      <w:ind w:rightChars="200"/>
      <w:jc w:val="right"/>
    </w:pPr>
    <w:rPr>
      <w:kern w:val="2"/>
    </w:rPr>
  </w:style>
  <w:style w:type="paragraph" w:customStyle="1" w:styleId="11">
    <w:name w:val="lawyeeAttachContent1"/>
    <w:basedOn w:val="1"/>
    <w:link w:val="33"/>
    <w:qFormat/>
    <w:uiPriority w:val="0"/>
    <w:pPr>
      <w:spacing w:line="520" w:lineRule="exact"/>
      <w:ind w:firstLineChars="200"/>
      <w:jc w:val="left"/>
    </w:pPr>
    <w:rPr>
      <w:kern w:val="2"/>
    </w:rPr>
  </w:style>
  <w:style w:type="paragraph" w:customStyle="1" w:styleId="12">
    <w:name w:val="lawyeeWritContent1"/>
    <w:basedOn w:val="1"/>
    <w:link w:val="31"/>
    <w:qFormat/>
    <w:uiPriority w:val="0"/>
    <w:pPr>
      <w:ind w:firstLineChars="200"/>
    </w:pPr>
    <w:rPr>
      <w:kern w:val="2"/>
    </w:rPr>
  </w:style>
  <w:style w:type="paragraph" w:customStyle="1" w:styleId="13">
    <w:name w:val="lawyeeJudge2"/>
    <w:basedOn w:val="1"/>
    <w:link w:val="35"/>
    <w:qFormat/>
    <w:uiPriority w:val="0"/>
    <w:pPr>
      <w:spacing w:line="520" w:lineRule="exact"/>
      <w:ind w:rightChars="200"/>
      <w:jc w:val="right"/>
    </w:pPr>
    <w:rPr>
      <w:kern w:val="2"/>
    </w:rPr>
  </w:style>
  <w:style w:type="paragraph" w:customStyle="1" w:styleId="14">
    <w:name w:val="lawyeeCaseNum1"/>
    <w:basedOn w:val="1"/>
    <w:link w:val="28"/>
    <w:qFormat/>
    <w:uiPriority w:val="0"/>
    <w:pPr>
      <w:ind w:rightChars="200"/>
      <w:jc w:val="right"/>
    </w:pPr>
    <w:rPr>
      <w:kern w:val="2"/>
    </w:rPr>
  </w:style>
  <w:style w:type="paragraph" w:customStyle="1" w:styleId="15">
    <w:name w:val="lawyeeAttachContent0"/>
    <w:basedOn w:val="1"/>
    <w:link w:val="26"/>
    <w:uiPriority w:val="0"/>
    <w:pPr>
      <w:spacing w:line="520" w:lineRule="exact"/>
      <w:ind w:firstLineChars="200"/>
      <w:jc w:val="left"/>
    </w:pPr>
    <w:rPr>
      <w:kern w:val="2"/>
    </w:rPr>
  </w:style>
  <w:style w:type="paragraph" w:customStyle="1" w:styleId="16">
    <w:name w:val="lawyeeWritContent0"/>
    <w:basedOn w:val="1"/>
    <w:link w:val="29"/>
    <w:qFormat/>
    <w:uiPriority w:val="0"/>
    <w:pPr>
      <w:ind w:firstLineChars="200"/>
    </w:pPr>
    <w:rPr>
      <w:kern w:val="2"/>
    </w:rPr>
  </w:style>
  <w:style w:type="paragraph" w:customStyle="1" w:styleId="17">
    <w:name w:val="lawyeeAttach1"/>
    <w:basedOn w:val="1"/>
    <w:link w:val="27"/>
    <w:qFormat/>
    <w:uiPriority w:val="0"/>
    <w:pPr>
      <w:spacing w:line="520" w:lineRule="exact"/>
      <w:ind w:firstLineChars="200"/>
      <w:jc w:val="left"/>
    </w:pPr>
    <w:rPr>
      <w:kern w:val="2"/>
    </w:rPr>
  </w:style>
  <w:style w:type="paragraph" w:customStyle="1" w:styleId="18">
    <w:name w:val="lawyeeOther2"/>
    <w:basedOn w:val="1"/>
    <w:qFormat/>
    <w:uiPriority w:val="0"/>
    <w:pPr>
      <w:spacing w:line="520" w:lineRule="exact"/>
      <w:ind w:firstLineChars="200"/>
      <w:jc w:val="left"/>
    </w:pPr>
    <w:rPr>
      <w:rFonts w:ascii="仿宋_GB2312"/>
    </w:rPr>
  </w:style>
  <w:style w:type="paragraph" w:customStyle="1" w:styleId="19">
    <w:name w:val="lawyeeDate1"/>
    <w:basedOn w:val="1"/>
    <w:link w:val="24"/>
    <w:qFormat/>
    <w:uiPriority w:val="0"/>
    <w:pPr>
      <w:ind w:rightChars="200"/>
      <w:jc w:val="right"/>
    </w:pPr>
    <w:rPr>
      <w:kern w:val="2"/>
    </w:rPr>
  </w:style>
  <w:style w:type="paragraph" w:customStyle="1" w:styleId="20">
    <w:name w:val="lawyeeWritName1"/>
    <w:basedOn w:val="1"/>
    <w:link w:val="22"/>
    <w:qFormat/>
    <w:uiPriority w:val="0"/>
    <w:pPr>
      <w:spacing w:line="720" w:lineRule="exact"/>
      <w:jc w:val="center"/>
    </w:pPr>
    <w:rPr>
      <w:rFonts w:ascii="方正小标宋_GBK" w:eastAsia="方正小标宋_GBK"/>
      <w:kern w:val="2"/>
      <w:sz w:val="44"/>
    </w:rPr>
  </w:style>
  <w:style w:type="paragraph" w:customStyle="1" w:styleId="21">
    <w:name w:val="lawyeeWritContent2"/>
    <w:basedOn w:val="1"/>
    <w:link w:val="32"/>
    <w:uiPriority w:val="0"/>
    <w:pPr>
      <w:ind w:firstLineChars="200"/>
    </w:pPr>
    <w:rPr>
      <w:kern w:val="2"/>
    </w:rPr>
  </w:style>
  <w:style w:type="character" w:customStyle="1" w:styleId="22">
    <w:name w:val="lawyeeWritName1 Char"/>
    <w:basedOn w:val="23"/>
    <w:link w:val="20"/>
    <w:qFormat/>
    <w:uiPriority w:val="0"/>
  </w:style>
  <w:style w:type="character" w:customStyle="1" w:styleId="23">
    <w:name w:val="lawyeeCourtName1 Char"/>
    <w:basedOn w:val="4"/>
    <w:link w:val="7"/>
    <w:qFormat/>
    <w:uiPriority w:val="0"/>
    <w:rPr>
      <w:rFonts w:ascii="方正小标宋_GBK" w:hAnsi="MS Sans Serif" w:eastAsia="方正小标宋_GBK"/>
      <w:kern w:val="2"/>
      <w:sz w:val="44"/>
      <w:szCs w:val="32"/>
    </w:rPr>
  </w:style>
  <w:style w:type="character" w:customStyle="1" w:styleId="24">
    <w:name w:val="lawyeeDate1 Char"/>
    <w:basedOn w:val="23"/>
    <w:link w:val="19"/>
    <w:qFormat/>
    <w:uiPriority w:val="0"/>
    <w:rPr>
      <w:rFonts w:ascii="仿宋_GB2312" w:eastAsia="仿宋_GB2312"/>
      <w:sz w:val="32"/>
    </w:rPr>
  </w:style>
  <w:style w:type="character" w:customStyle="1" w:styleId="25">
    <w:name w:val="页眉 Char"/>
    <w:basedOn w:val="4"/>
    <w:link w:val="3"/>
    <w:qFormat/>
    <w:uiPriority w:val="0"/>
    <w:rPr>
      <w:rFonts w:ascii="仿宋_GB2312" w:hAnsi="MS Sans Serif" w:eastAsia="仿宋_GB2312"/>
      <w:sz w:val="18"/>
      <w:szCs w:val="18"/>
    </w:rPr>
  </w:style>
  <w:style w:type="character" w:customStyle="1" w:styleId="26">
    <w:name w:val="lawyeeAttachContent0 Char"/>
    <w:basedOn w:val="23"/>
    <w:link w:val="15"/>
    <w:qFormat/>
    <w:uiPriority w:val="0"/>
    <w:rPr>
      <w:rFonts w:ascii="仿宋_GB2312" w:eastAsia="仿宋_GB2312"/>
      <w:sz w:val="32"/>
    </w:rPr>
  </w:style>
  <w:style w:type="character" w:customStyle="1" w:styleId="27">
    <w:name w:val="lawyeeAttach1 Char"/>
    <w:basedOn w:val="23"/>
    <w:link w:val="17"/>
    <w:qFormat/>
    <w:uiPriority w:val="0"/>
    <w:rPr>
      <w:rFonts w:ascii="仿宋_GB2312" w:eastAsia="仿宋_GB2312"/>
      <w:sz w:val="32"/>
    </w:rPr>
  </w:style>
  <w:style w:type="character" w:customStyle="1" w:styleId="28">
    <w:name w:val="lawyeeCaseNum1 Char"/>
    <w:basedOn w:val="23"/>
    <w:link w:val="14"/>
    <w:qFormat/>
    <w:uiPriority w:val="0"/>
    <w:rPr>
      <w:rFonts w:ascii="仿宋_GB2312" w:eastAsia="仿宋_GB2312"/>
      <w:sz w:val="32"/>
    </w:rPr>
  </w:style>
  <w:style w:type="character" w:customStyle="1" w:styleId="29">
    <w:name w:val="lawyeeWritContent0 Char"/>
    <w:basedOn w:val="23"/>
    <w:link w:val="16"/>
    <w:qFormat/>
    <w:uiPriority w:val="0"/>
    <w:rPr>
      <w:rFonts w:ascii="仿宋_GB2312" w:eastAsia="仿宋_GB2312"/>
      <w:sz w:val="32"/>
    </w:rPr>
  </w:style>
  <w:style w:type="character" w:customStyle="1" w:styleId="30">
    <w:name w:val="lawyeeAttachContent2 Char"/>
    <w:basedOn w:val="23"/>
    <w:link w:val="8"/>
    <w:qFormat/>
    <w:uiPriority w:val="0"/>
    <w:rPr>
      <w:rFonts w:ascii="仿宋_GB2312" w:eastAsia="仿宋_GB2312"/>
      <w:sz w:val="32"/>
    </w:rPr>
  </w:style>
  <w:style w:type="character" w:customStyle="1" w:styleId="31">
    <w:name w:val="lawyeeWritContent1 Char"/>
    <w:basedOn w:val="23"/>
    <w:link w:val="12"/>
    <w:uiPriority w:val="0"/>
    <w:rPr>
      <w:rFonts w:ascii="仿宋_GB2312" w:eastAsia="仿宋_GB2312"/>
      <w:sz w:val="32"/>
    </w:rPr>
  </w:style>
  <w:style w:type="character" w:customStyle="1" w:styleId="32">
    <w:name w:val="lawyeeWritContent2 Char"/>
    <w:basedOn w:val="23"/>
    <w:link w:val="21"/>
    <w:qFormat/>
    <w:uiPriority w:val="0"/>
    <w:rPr>
      <w:rFonts w:ascii="仿宋_GB2312" w:eastAsia="仿宋_GB2312"/>
      <w:sz w:val="32"/>
    </w:rPr>
  </w:style>
  <w:style w:type="character" w:customStyle="1" w:styleId="33">
    <w:name w:val="lawyeeAttachContent1 Char"/>
    <w:basedOn w:val="23"/>
    <w:link w:val="11"/>
    <w:qFormat/>
    <w:uiPriority w:val="0"/>
    <w:rPr>
      <w:rFonts w:ascii="仿宋_GB2312" w:eastAsia="仿宋_GB2312"/>
      <w:sz w:val="32"/>
    </w:rPr>
  </w:style>
  <w:style w:type="character" w:customStyle="1" w:styleId="34">
    <w:name w:val="lawyeeJudge1 Char"/>
    <w:basedOn w:val="23"/>
    <w:link w:val="10"/>
    <w:qFormat/>
    <w:uiPriority w:val="0"/>
    <w:rPr>
      <w:rFonts w:ascii="仿宋_GB2312" w:eastAsia="仿宋_GB2312"/>
      <w:sz w:val="32"/>
    </w:rPr>
  </w:style>
  <w:style w:type="character" w:customStyle="1" w:styleId="35">
    <w:name w:val="lawyeeJudge2 Char"/>
    <w:basedOn w:val="23"/>
    <w:link w:val="13"/>
    <w:qFormat/>
    <w:uiPriority w:val="0"/>
    <w:rPr>
      <w:rFonts w:ascii="仿宋_GB2312" w:eastAsia="仿宋_GB2312"/>
      <w:sz w:val="32"/>
    </w:rPr>
  </w:style>
  <w:style w:type="character" w:customStyle="1" w:styleId="36">
    <w:name w:val="页脚 Char"/>
    <w:basedOn w:val="4"/>
    <w:link w:val="2"/>
    <w:uiPriority w:val="0"/>
    <w:rPr>
      <w:rFonts w:ascii="仿宋_GB2312" w:hAnsi="MS Sans Serif" w:eastAsia="仿宋_GB231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宁河区人民法院</Company>
  <Pages>4</Pages>
  <Words>269</Words>
  <Characters>1539</Characters>
  <Lines>12</Lines>
  <Paragraphs>3</Paragraphs>
  <TotalTime>0</TotalTime>
  <ScaleCrop>false</ScaleCrop>
  <LinksUpToDate>false</LinksUpToDate>
  <CharactersWithSpaces>1805</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2018-05-14T01:39:00Z</dcterms:created>
  <dc:creator>靳加伏</dc:creator>
  <cp:lastModifiedBy>TF-PC</cp:lastModifiedBy>
  <dcterms:modified xsi:type="dcterms:W3CDTF">2018-08-27T09:39:14Z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