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42"/>
        </w:tabs>
        <w:spacing w:line="800" w:lineRule="exact"/>
        <w:jc w:val="center"/>
        <w:rPr>
          <w:rFonts w:ascii="宋体"/>
          <w:color w:val="000000"/>
          <w:sz w:val="44"/>
        </w:rPr>
      </w:pPr>
      <w:bookmarkStart w:id="3" w:name="_GoBack"/>
      <w:bookmarkEnd w:id="3"/>
      <w:r>
        <w:rPr>
          <w:rFonts w:hint="eastAsia" w:ascii="宋体"/>
          <w:color w:val="000000"/>
          <w:sz w:val="44"/>
        </w:rPr>
        <w:t>天津市第二中级人民法院</w:t>
      </w:r>
    </w:p>
    <w:p>
      <w:pPr>
        <w:spacing w:line="800" w:lineRule="exact"/>
        <w:jc w:val="center"/>
        <w:rPr>
          <w:rFonts w:hint="eastAsia" w:ascii="宋体"/>
          <w:color w:val="000000"/>
          <w:sz w:val="52"/>
        </w:rPr>
      </w:pPr>
      <w:r>
        <w:rPr>
          <w:rFonts w:hint="eastAsia" w:ascii="宋体"/>
          <w:color w:val="000000"/>
          <w:sz w:val="52"/>
        </w:rPr>
        <w:t>刑  事  判  决  书</w:t>
      </w:r>
    </w:p>
    <w:p>
      <w:pPr>
        <w:spacing w:line="500" w:lineRule="exact"/>
        <w:jc w:val="right"/>
        <w:rPr>
          <w:rFonts w:hint="eastAsia" w:ascii="仿宋_GB2312" w:eastAsia="仿宋_GB2312"/>
          <w:color w:val="000000"/>
          <w:sz w:val="32"/>
        </w:rPr>
      </w:pPr>
    </w:p>
    <w:p>
      <w:pPr>
        <w:spacing w:line="500" w:lineRule="exact"/>
        <w:jc w:val="right"/>
        <w:rPr>
          <w:rFonts w:hint="eastAsia" w:ascii="仿宋_GB2312" w:eastAsia="仿宋_GB2312"/>
          <w:color w:val="000000"/>
          <w:sz w:val="32"/>
        </w:rPr>
      </w:pPr>
      <w:r>
        <w:rPr>
          <w:rFonts w:hint="eastAsia" w:ascii="仿宋_GB2312" w:eastAsia="仿宋_GB2312"/>
          <w:color w:val="000000"/>
          <w:sz w:val="32"/>
        </w:rPr>
        <w:t>（2014）二中刑终字第192号</w:t>
      </w:r>
    </w:p>
    <w:p>
      <w:pPr>
        <w:spacing w:line="500" w:lineRule="exact"/>
        <w:jc w:val="right"/>
        <w:rPr>
          <w:rFonts w:hint="eastAsia" w:ascii="仿宋_GB2312" w:eastAsia="仿宋_GB2312"/>
          <w:color w:val="000000"/>
          <w:sz w:val="32"/>
        </w:rPr>
      </w:pPr>
    </w:p>
    <w:p>
      <w:pPr>
        <w:spacing w:line="5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原公诉机关天津市</w:t>
      </w:r>
      <w:r>
        <w:rPr>
          <w:rFonts w:hint="eastAsia" w:ascii="仿宋_GB2312" w:eastAsia="仿宋_GB2312"/>
          <w:kern w:val="0"/>
          <w:sz w:val="32"/>
          <w:szCs w:val="32"/>
        </w:rPr>
        <w:t>河西区</w:t>
      </w:r>
      <w:r>
        <w:rPr>
          <w:rFonts w:hint="eastAsia" w:ascii="仿宋_GB2312" w:eastAsia="仿宋_GB2312"/>
          <w:color w:val="000000"/>
          <w:sz w:val="32"/>
          <w:szCs w:val="32"/>
        </w:rPr>
        <w:t xml:space="preserve">人民检察院。 </w:t>
      </w:r>
    </w:p>
    <w:p>
      <w:pPr>
        <w:spacing w:line="500" w:lineRule="exact"/>
        <w:ind w:firstLine="640" w:firstLineChars="200"/>
        <w:rPr>
          <w:rFonts w:hint="eastAsia" w:ascii="仿宋_GB2312" w:eastAsia="仿宋_GB2312"/>
          <w:kern w:val="0"/>
          <w:sz w:val="32"/>
          <w:szCs w:val="32"/>
          <w:lang w:val="zh-CN"/>
        </w:rPr>
      </w:pPr>
      <w:r>
        <w:rPr>
          <w:rFonts w:hint="eastAsia" w:ascii="仿宋_GB2312" w:eastAsia="仿宋_GB2312"/>
          <w:color w:val="000000"/>
          <w:sz w:val="32"/>
          <w:szCs w:val="32"/>
        </w:rPr>
        <w:t>上诉人（原审被告人）</w:t>
      </w:r>
      <w:r>
        <w:rPr>
          <w:rFonts w:hint="eastAsia" w:ascii="仿宋_GB2312" w:eastAsia="仿宋_GB2312"/>
          <w:kern w:val="0"/>
          <w:sz w:val="32"/>
          <w:szCs w:val="32"/>
        </w:rPr>
        <w:t>郭庭山，男，1967年8月27日出生于天津市，汉族，高中文化，天津万泓世纪工程技术服务有限公司经理，住天津市滨海新区工农村欧美小镇情景家园12-404号，户籍地天津市滨海新区海大道22号。2013年9月6日因涉嫌犯信用卡诈骗罪被取保候审</w:t>
      </w:r>
      <w:r>
        <w:rPr>
          <w:rFonts w:hint="eastAsia" w:ascii="仿宋_GB2312" w:eastAsia="仿宋_GB2312"/>
          <w:kern w:val="0"/>
          <w:sz w:val="32"/>
          <w:szCs w:val="32"/>
          <w:lang w:val="zh-CN"/>
        </w:rPr>
        <w:t>，</w:t>
      </w:r>
      <w:r>
        <w:rPr>
          <w:rFonts w:hint="eastAsia" w:ascii="仿宋_GB2312" w:eastAsia="仿宋_GB2312"/>
          <w:kern w:val="0"/>
          <w:sz w:val="32"/>
          <w:szCs w:val="32"/>
        </w:rPr>
        <w:t>2014年2月23日被依法逮捕。现羁押于天津市河西区看守所</w:t>
      </w:r>
      <w:r>
        <w:rPr>
          <w:rFonts w:hint="eastAsia" w:ascii="仿宋_GB2312" w:eastAsia="仿宋_GB2312"/>
          <w:kern w:val="0"/>
          <w:sz w:val="32"/>
          <w:szCs w:val="32"/>
          <w:lang w:val="zh-CN"/>
        </w:rPr>
        <w:t>。</w:t>
      </w:r>
    </w:p>
    <w:p>
      <w:pPr>
        <w:spacing w:line="500" w:lineRule="exact"/>
        <w:ind w:firstLine="640" w:firstLineChars="200"/>
        <w:rPr>
          <w:rFonts w:hint="eastAsia" w:ascii="仿宋_GB2312" w:eastAsia="仿宋_GB2312" w:cs="宋体"/>
          <w:color w:val="000000"/>
          <w:kern w:val="0"/>
          <w:sz w:val="32"/>
          <w:szCs w:val="32"/>
          <w:lang w:val="zh-CN"/>
        </w:rPr>
      </w:pPr>
      <w:r>
        <w:rPr>
          <w:rFonts w:hint="eastAsia" w:ascii="仿宋_GB2312" w:eastAsia="仿宋_GB2312"/>
          <w:kern w:val="0"/>
          <w:sz w:val="32"/>
          <w:szCs w:val="32"/>
          <w:lang w:val="zh-CN"/>
        </w:rPr>
        <w:t>辩护人孙丹丹，北京盈科（天津）律师事务所律师。</w:t>
      </w:r>
    </w:p>
    <w:p>
      <w:pPr>
        <w:tabs>
          <w:tab w:val="left" w:pos="6090"/>
        </w:tabs>
        <w:spacing w:line="5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天津市</w:t>
      </w:r>
      <w:r>
        <w:rPr>
          <w:rFonts w:hint="eastAsia" w:ascii="仿宋_GB2312" w:eastAsia="仿宋_GB2312"/>
          <w:kern w:val="0"/>
          <w:sz w:val="32"/>
          <w:szCs w:val="32"/>
        </w:rPr>
        <w:t>河西区</w:t>
      </w:r>
      <w:r>
        <w:rPr>
          <w:rFonts w:hint="eastAsia" w:ascii="仿宋_GB2312" w:eastAsia="仿宋_GB2312"/>
          <w:color w:val="000000"/>
          <w:sz w:val="32"/>
          <w:szCs w:val="32"/>
        </w:rPr>
        <w:t>人民法院审理天津市</w:t>
      </w:r>
      <w:r>
        <w:rPr>
          <w:rFonts w:hint="eastAsia" w:ascii="仿宋_GB2312" w:eastAsia="仿宋_GB2312"/>
          <w:kern w:val="0"/>
          <w:sz w:val="32"/>
          <w:szCs w:val="32"/>
        </w:rPr>
        <w:t>河西区</w:t>
      </w:r>
      <w:r>
        <w:rPr>
          <w:rFonts w:hint="eastAsia" w:ascii="仿宋_GB2312" w:eastAsia="仿宋_GB2312"/>
          <w:color w:val="000000"/>
          <w:sz w:val="32"/>
          <w:szCs w:val="32"/>
        </w:rPr>
        <w:t>人民检察院指控原审被告人</w:t>
      </w:r>
      <w:r>
        <w:rPr>
          <w:rFonts w:hint="eastAsia" w:ascii="仿宋_GB2312" w:eastAsia="仿宋_GB2312"/>
          <w:kern w:val="0"/>
          <w:sz w:val="32"/>
          <w:szCs w:val="32"/>
        </w:rPr>
        <w:t>郭庭山</w:t>
      </w:r>
      <w:r>
        <w:rPr>
          <w:rFonts w:hint="eastAsia" w:ascii="仿宋_GB2312" w:eastAsia="仿宋_GB2312"/>
          <w:color w:val="000000"/>
          <w:sz w:val="32"/>
          <w:szCs w:val="32"/>
        </w:rPr>
        <w:t>犯</w:t>
      </w:r>
      <w:r>
        <w:rPr>
          <w:rFonts w:hint="eastAsia" w:ascii="仿宋_GB2312" w:eastAsia="仿宋_GB2312"/>
          <w:kern w:val="0"/>
          <w:sz w:val="32"/>
          <w:szCs w:val="32"/>
        </w:rPr>
        <w:t>信用卡诈骗罪</w:t>
      </w:r>
      <w:r>
        <w:rPr>
          <w:rFonts w:hint="eastAsia" w:ascii="仿宋_GB2312" w:eastAsia="仿宋_GB2312"/>
          <w:color w:val="000000"/>
          <w:sz w:val="32"/>
          <w:szCs w:val="32"/>
        </w:rPr>
        <w:t>一案，于</w:t>
      </w:r>
      <w:r>
        <w:rPr>
          <w:rFonts w:hint="eastAsia" w:ascii="仿宋_GB2312" w:eastAsia="仿宋_GB2312"/>
          <w:bCs/>
          <w:sz w:val="32"/>
          <w:szCs w:val="32"/>
        </w:rPr>
        <w:t>二</w:t>
      </w:r>
      <w:r>
        <w:rPr>
          <w:rFonts w:hint="eastAsia" w:ascii="仿宋_GB2312" w:hAnsi="宋体"/>
          <w:bCs/>
          <w:sz w:val="32"/>
          <w:szCs w:val="32"/>
        </w:rPr>
        <w:t>〇</w:t>
      </w:r>
      <w:r>
        <w:rPr>
          <w:rFonts w:hint="eastAsia" w:ascii="仿宋_GB2312" w:eastAsia="仿宋_GB2312"/>
          <w:bCs/>
          <w:sz w:val="32"/>
          <w:szCs w:val="32"/>
        </w:rPr>
        <w:t>一</w:t>
      </w:r>
      <w:r>
        <w:rPr>
          <w:rFonts w:hint="eastAsia" w:ascii="仿宋_GB2312" w:hAnsi="宋体" w:eastAsia="仿宋_GB2312"/>
          <w:bCs/>
          <w:sz w:val="32"/>
          <w:szCs w:val="32"/>
        </w:rPr>
        <w:t>四</w:t>
      </w:r>
      <w:r>
        <w:rPr>
          <w:rFonts w:hint="eastAsia" w:ascii="仿宋_GB2312" w:eastAsia="仿宋_GB2312"/>
          <w:bCs/>
          <w:sz w:val="32"/>
          <w:szCs w:val="32"/>
        </w:rPr>
        <w:t>年三月十七日</w:t>
      </w:r>
      <w:r>
        <w:rPr>
          <w:rFonts w:hint="eastAsia" w:ascii="仿宋_GB2312" w:eastAsia="仿宋_GB2312"/>
          <w:color w:val="000000"/>
          <w:sz w:val="32"/>
          <w:szCs w:val="32"/>
        </w:rPr>
        <w:t>作出</w:t>
      </w:r>
      <w:r>
        <w:rPr>
          <w:rFonts w:hint="eastAsia" w:ascii="仿宋_GB2312" w:eastAsia="仿宋_GB2312"/>
          <w:kern w:val="0"/>
          <w:sz w:val="32"/>
          <w:szCs w:val="32"/>
        </w:rPr>
        <w:t>（2013）西刑初字第468号</w:t>
      </w:r>
      <w:r>
        <w:rPr>
          <w:rFonts w:hint="eastAsia" w:ascii="仿宋_GB2312" w:eastAsia="仿宋_GB2312"/>
          <w:color w:val="000000"/>
          <w:sz w:val="32"/>
          <w:szCs w:val="32"/>
        </w:rPr>
        <w:t>刑事判决。原审被告人</w:t>
      </w:r>
      <w:r>
        <w:rPr>
          <w:rFonts w:hint="eastAsia" w:ascii="仿宋_GB2312" w:eastAsia="仿宋_GB2312"/>
          <w:kern w:val="0"/>
          <w:sz w:val="32"/>
          <w:szCs w:val="32"/>
        </w:rPr>
        <w:t>郭庭山</w:t>
      </w:r>
      <w:r>
        <w:rPr>
          <w:rFonts w:hint="eastAsia" w:ascii="仿宋_GB2312" w:eastAsia="仿宋_GB2312"/>
          <w:color w:val="000000"/>
          <w:sz w:val="32"/>
          <w:szCs w:val="32"/>
        </w:rPr>
        <w:t>不服，提出上诉。本院依法组成合议庭，于二</w:t>
      </w:r>
      <w:r>
        <w:rPr>
          <w:rFonts w:hint="eastAsia" w:ascii="仿宋_GB2312" w:hAnsi="宋体" w:cs="宋体"/>
          <w:color w:val="000000"/>
          <w:sz w:val="32"/>
          <w:szCs w:val="32"/>
        </w:rPr>
        <w:t>〇</w:t>
      </w:r>
      <w:r>
        <w:rPr>
          <w:rFonts w:hint="eastAsia" w:ascii="仿宋_GB2312" w:hAnsi="仿宋_GB2312" w:eastAsia="仿宋_GB2312" w:cs="仿宋_GB2312"/>
          <w:color w:val="000000"/>
          <w:sz w:val="32"/>
          <w:szCs w:val="32"/>
        </w:rPr>
        <w:t>一四年七月一</w:t>
      </w:r>
      <w:r>
        <w:rPr>
          <w:rFonts w:hint="eastAsia" w:ascii="仿宋_GB2312" w:eastAsia="仿宋_GB2312"/>
          <w:color w:val="000000"/>
          <w:sz w:val="32"/>
          <w:szCs w:val="32"/>
        </w:rPr>
        <w:t>日公开开庭审理了本案。天津市人民检察院第二分院指派检察员温德强出庭履行职务。上诉人（原审被告人）</w:t>
      </w:r>
      <w:r>
        <w:rPr>
          <w:rFonts w:hint="eastAsia" w:ascii="仿宋_GB2312" w:eastAsia="仿宋_GB2312"/>
          <w:kern w:val="0"/>
          <w:sz w:val="32"/>
          <w:szCs w:val="32"/>
        </w:rPr>
        <w:t>郭庭山及其辩护人</w:t>
      </w:r>
      <w:r>
        <w:rPr>
          <w:rFonts w:hint="eastAsia" w:ascii="仿宋_GB2312" w:eastAsia="仿宋_GB2312"/>
          <w:kern w:val="0"/>
          <w:sz w:val="32"/>
          <w:szCs w:val="32"/>
          <w:lang w:val="zh-CN"/>
        </w:rPr>
        <w:t>孙丹丹</w:t>
      </w:r>
      <w:r>
        <w:rPr>
          <w:rFonts w:hint="eastAsia" w:ascii="仿宋_GB2312" w:eastAsia="仿宋_GB2312"/>
          <w:color w:val="000000"/>
          <w:sz w:val="32"/>
          <w:szCs w:val="32"/>
        </w:rPr>
        <w:t>到庭参加诉讼。现已审理终结。</w:t>
      </w:r>
    </w:p>
    <w:p>
      <w:pPr>
        <w:tabs>
          <w:tab w:val="left" w:pos="6090"/>
        </w:tabs>
        <w:spacing w:line="500" w:lineRule="exact"/>
        <w:ind w:firstLine="640" w:firstLineChars="200"/>
        <w:rPr>
          <w:rFonts w:hint="eastAsia" w:ascii="仿宋_GB2312" w:eastAsia="仿宋_GB2312"/>
          <w:kern w:val="0"/>
          <w:sz w:val="32"/>
          <w:szCs w:val="32"/>
        </w:rPr>
      </w:pPr>
      <w:r>
        <w:rPr>
          <w:rFonts w:hint="eastAsia" w:ascii="仿宋_GB2312" w:eastAsia="仿宋_GB2312"/>
          <w:color w:val="000000"/>
          <w:sz w:val="32"/>
          <w:szCs w:val="32"/>
        </w:rPr>
        <w:t>原审判决认定，</w:t>
      </w:r>
      <w:r>
        <w:rPr>
          <w:rFonts w:hint="eastAsia" w:ascii="仿宋_GB2312" w:eastAsia="仿宋_GB2312"/>
          <w:kern w:val="0"/>
          <w:sz w:val="32"/>
          <w:szCs w:val="32"/>
        </w:rPr>
        <w:t>2010年7月21日，被告人郭庭山在交通银行天津市分行申领信用卡一张（卡号：6222531210229392），2010年7月30日开始透支消费，2013年3月24日，被告人郭庭山最后一次还款人民币50000元后，截止至2013年8月18日，共计欠款人民币139760.82元，其中本金人民币113159.76元。期间，经银行多次电话进行催收，被告人郭庭山仍未归还，且超过三个月。被害单位报案后，被告人郭庭山于2013年9月5日自行到公安机关接受讯问，并于2013年9月6日将本金人民币113200元归还。法院审理期间，被告人郭庭山脱逃，2014年2月23日，被告人郭庭山被山东省无棣县公安局埕口边防派出所抓获。</w:t>
      </w:r>
    </w:p>
    <w:p>
      <w:pPr>
        <w:tabs>
          <w:tab w:val="left" w:pos="6090"/>
        </w:tabs>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 xml:space="preserve">上述事实，有以下证据证实： </w:t>
      </w:r>
    </w:p>
    <w:p>
      <w:pPr>
        <w:widowControl/>
        <w:spacing w:line="500" w:lineRule="exact"/>
        <w:ind w:firstLine="640" w:firstLineChars="200"/>
        <w:jc w:val="left"/>
        <w:rPr>
          <w:rFonts w:hint="eastAsia" w:ascii="仿宋_GB2312" w:eastAsia="仿宋_GB2312"/>
          <w:kern w:val="0"/>
          <w:sz w:val="32"/>
          <w:szCs w:val="32"/>
        </w:rPr>
      </w:pPr>
      <w:r>
        <w:rPr>
          <w:rFonts w:hint="eastAsia" w:ascii="仿宋_GB2312" w:eastAsia="仿宋_GB2312"/>
          <w:sz w:val="32"/>
          <w:szCs w:val="32"/>
        </w:rPr>
        <w:t>1、被告人</w:t>
      </w:r>
      <w:r>
        <w:rPr>
          <w:rFonts w:hint="eastAsia" w:ascii="仿宋_GB2312" w:eastAsia="仿宋_GB2312"/>
          <w:kern w:val="0"/>
          <w:sz w:val="32"/>
          <w:szCs w:val="32"/>
        </w:rPr>
        <w:t>郭庭山</w:t>
      </w:r>
      <w:r>
        <w:rPr>
          <w:rFonts w:hint="eastAsia" w:ascii="仿宋_GB2312" w:eastAsia="仿宋_GB2312"/>
          <w:sz w:val="32"/>
          <w:szCs w:val="32"/>
        </w:rPr>
        <w:t>供述证实，</w:t>
      </w:r>
      <w:bookmarkStart w:id="0" w:name="b002343t1394590584c次5万元现金"/>
      <w:r>
        <w:rPr>
          <w:rFonts w:hint="eastAsia" w:ascii="仿宋_GB2312" w:eastAsia="仿宋_GB2312"/>
          <w:kern w:val="0"/>
          <w:sz w:val="32"/>
          <w:szCs w:val="32"/>
        </w:rPr>
        <w:t>2010年7月21日，其在交通银行天津市分行申领卡号为6222531210229392的信用卡一张，用于个人消费。2013年3月24日，其最后一次还款人民币50000元后，经银行多次电话进行催收，其因没有钱未归还。</w:t>
      </w:r>
    </w:p>
    <w:p>
      <w:pPr>
        <w:widowControl/>
        <w:spacing w:line="500" w:lineRule="exact"/>
        <w:ind w:firstLine="640" w:firstLineChars="200"/>
        <w:jc w:val="left"/>
        <w:rPr>
          <w:rFonts w:hint="eastAsia" w:ascii="仿宋_GB2312" w:eastAsia="仿宋_GB2312"/>
          <w:sz w:val="32"/>
          <w:szCs w:val="32"/>
        </w:rPr>
      </w:pPr>
      <w:r>
        <w:rPr>
          <w:rFonts w:hint="eastAsia" w:ascii="仿宋_GB2312" w:eastAsia="仿宋_GB2312"/>
          <w:sz w:val="32"/>
          <w:szCs w:val="32"/>
        </w:rPr>
        <w:t>2、被害人</w:t>
      </w:r>
      <w:r>
        <w:rPr>
          <w:rFonts w:hint="eastAsia" w:ascii="仿宋_GB2312" w:eastAsia="仿宋_GB2312"/>
          <w:kern w:val="0"/>
          <w:sz w:val="32"/>
          <w:szCs w:val="32"/>
        </w:rPr>
        <w:t>交通银行天津市分行信用卡中心的职工张益某</w:t>
      </w:r>
      <w:r>
        <w:rPr>
          <w:rFonts w:hint="eastAsia" w:ascii="仿宋_GB2312" w:eastAsia="仿宋_GB2312"/>
          <w:sz w:val="32"/>
          <w:szCs w:val="32"/>
        </w:rPr>
        <w:t>陈述</w:t>
      </w:r>
      <w:r>
        <w:rPr>
          <w:rFonts w:hint="eastAsia" w:ascii="仿宋_GB2312" w:eastAsia="仿宋_GB2312"/>
          <w:kern w:val="0"/>
          <w:sz w:val="32"/>
          <w:szCs w:val="32"/>
        </w:rPr>
        <w:t>及报案材料</w:t>
      </w:r>
      <w:r>
        <w:rPr>
          <w:rFonts w:hint="eastAsia" w:ascii="仿宋_GB2312" w:eastAsia="仿宋_GB2312"/>
          <w:sz w:val="32"/>
          <w:szCs w:val="32"/>
        </w:rPr>
        <w:t>证实，</w:t>
      </w:r>
      <w:bookmarkEnd w:id="0"/>
      <w:r>
        <w:rPr>
          <w:rFonts w:hint="eastAsia" w:ascii="仿宋_GB2312" w:eastAsia="仿宋_GB2312"/>
          <w:kern w:val="0"/>
          <w:sz w:val="32"/>
          <w:szCs w:val="32"/>
        </w:rPr>
        <w:t>2010年7月21日，被告人郭庭山在交通银行天津市分行申领卡号为6222531210229392的信用卡一张，后于2010年7月30日开始透支消费。2013年3月24日，被告人郭庭山最后一次还款人民币50000元后，截止至2013年8月18日，共计欠款人民币139760.82元，其中本金人民币113159.76元。期间，经银行多次电话进行催收，被告人郭庭山仍未归还，且超过三个月</w:t>
      </w:r>
      <w:r>
        <w:rPr>
          <w:rFonts w:hint="eastAsia" w:ascii="仿宋_GB2312" w:eastAsia="仿宋_GB2312"/>
          <w:sz w:val="32"/>
          <w:szCs w:val="32"/>
        </w:rPr>
        <w:t>。</w:t>
      </w:r>
    </w:p>
    <w:p>
      <w:pPr>
        <w:widowControl/>
        <w:spacing w:line="500" w:lineRule="exact"/>
        <w:ind w:firstLine="640" w:firstLineChars="200"/>
        <w:jc w:val="left"/>
        <w:rPr>
          <w:rFonts w:hint="eastAsia" w:ascii="仿宋_GB2312" w:eastAsia="仿宋_GB2312"/>
          <w:sz w:val="32"/>
          <w:szCs w:val="32"/>
        </w:rPr>
      </w:pPr>
      <w:r>
        <w:rPr>
          <w:rFonts w:hint="eastAsia" w:ascii="仿宋_GB2312" w:eastAsia="仿宋_GB2312"/>
          <w:sz w:val="32"/>
          <w:szCs w:val="32"/>
        </w:rPr>
        <w:t>3、</w:t>
      </w:r>
      <w:r>
        <w:rPr>
          <w:rFonts w:hint="eastAsia" w:ascii="仿宋_GB2312" w:eastAsia="仿宋_GB2312"/>
          <w:kern w:val="0"/>
          <w:sz w:val="32"/>
          <w:szCs w:val="32"/>
        </w:rPr>
        <w:t>申领信用卡的相关手续，消费记录及催收记录，还款凭证</w:t>
      </w:r>
      <w:r>
        <w:rPr>
          <w:rFonts w:hint="eastAsia" w:ascii="仿宋_GB2312" w:eastAsia="仿宋_GB2312"/>
          <w:sz w:val="32"/>
          <w:szCs w:val="32"/>
        </w:rPr>
        <w:t>证实，</w:t>
      </w:r>
      <w:r>
        <w:rPr>
          <w:rFonts w:hint="eastAsia" w:ascii="仿宋_GB2312" w:eastAsia="仿宋_GB2312"/>
          <w:kern w:val="0"/>
          <w:sz w:val="32"/>
          <w:szCs w:val="32"/>
        </w:rPr>
        <w:t>2010年7月21日，被告人郭庭山在交通银行天津市分行申领信用卡一张（卡号：6222531210229392）。2013年3月24日，被告人郭庭山还款人民币50000元。截止至2013年8月18日，被告人郭庭山共计欠款人民币139760.82元，其中本金人民币113159.76元。期间，经银行多次电话进行催收，被告人郭庭山仍未归还</w:t>
      </w:r>
      <w:r>
        <w:rPr>
          <w:rFonts w:hint="eastAsia" w:ascii="仿宋_GB2312" w:eastAsia="仿宋_GB2312"/>
          <w:sz w:val="32"/>
          <w:szCs w:val="32"/>
        </w:rPr>
        <w:t>。</w:t>
      </w:r>
    </w:p>
    <w:p>
      <w:pPr>
        <w:widowControl/>
        <w:spacing w:line="500" w:lineRule="exact"/>
        <w:ind w:firstLine="640" w:firstLineChars="200"/>
        <w:jc w:val="left"/>
        <w:rPr>
          <w:rFonts w:hint="eastAsia" w:ascii="仿宋_GB2312" w:eastAsia="仿宋_GB2312"/>
          <w:sz w:val="32"/>
          <w:szCs w:val="32"/>
        </w:rPr>
      </w:pPr>
      <w:r>
        <w:rPr>
          <w:rFonts w:hint="eastAsia" w:ascii="仿宋_GB2312" w:eastAsia="仿宋_GB2312"/>
          <w:sz w:val="32"/>
          <w:szCs w:val="32"/>
        </w:rPr>
        <w:t>4、</w:t>
      </w:r>
      <w:r>
        <w:rPr>
          <w:rFonts w:hint="eastAsia" w:ascii="仿宋_GB2312" w:eastAsia="仿宋_GB2312"/>
          <w:kern w:val="0"/>
          <w:sz w:val="32"/>
          <w:szCs w:val="32"/>
        </w:rPr>
        <w:t>被告人的户籍材料</w:t>
      </w:r>
      <w:r>
        <w:rPr>
          <w:rFonts w:hint="eastAsia" w:ascii="仿宋_GB2312" w:eastAsia="仿宋_GB2312"/>
          <w:sz w:val="32"/>
          <w:szCs w:val="32"/>
        </w:rPr>
        <w:t>证实，被告人</w:t>
      </w:r>
      <w:r>
        <w:rPr>
          <w:rFonts w:hint="eastAsia" w:ascii="仿宋_GB2312" w:eastAsia="仿宋_GB2312"/>
          <w:kern w:val="0"/>
          <w:sz w:val="32"/>
          <w:szCs w:val="32"/>
        </w:rPr>
        <w:t>郭庭山</w:t>
      </w:r>
      <w:r>
        <w:rPr>
          <w:rFonts w:hint="eastAsia" w:ascii="仿宋_GB2312" w:eastAsia="仿宋_GB2312"/>
          <w:sz w:val="32"/>
          <w:szCs w:val="32"/>
        </w:rPr>
        <w:t>系成年人，具有完全刑事责任能力。</w:t>
      </w:r>
    </w:p>
    <w:p>
      <w:pPr>
        <w:widowControl/>
        <w:spacing w:line="500" w:lineRule="exact"/>
        <w:ind w:firstLine="640" w:firstLineChars="200"/>
        <w:jc w:val="left"/>
        <w:rPr>
          <w:rFonts w:hint="eastAsia" w:ascii="仿宋_GB2312" w:eastAsia="仿宋_GB2312"/>
          <w:sz w:val="32"/>
          <w:szCs w:val="32"/>
        </w:rPr>
      </w:pPr>
      <w:r>
        <w:rPr>
          <w:rFonts w:hint="eastAsia" w:ascii="仿宋_GB2312" w:eastAsia="仿宋_GB2312"/>
          <w:sz w:val="32"/>
          <w:szCs w:val="32"/>
        </w:rPr>
        <w:t>5、案件来源及抓获经过等书证证实，本案案发及被告人</w:t>
      </w:r>
      <w:r>
        <w:rPr>
          <w:rFonts w:hint="eastAsia" w:ascii="仿宋_GB2312" w:eastAsia="仿宋_GB2312"/>
          <w:kern w:val="0"/>
          <w:sz w:val="32"/>
          <w:szCs w:val="32"/>
        </w:rPr>
        <w:t>郭庭山</w:t>
      </w:r>
      <w:r>
        <w:rPr>
          <w:rFonts w:hint="eastAsia" w:ascii="仿宋_GB2312" w:eastAsia="仿宋_GB2312"/>
          <w:sz w:val="32"/>
          <w:szCs w:val="32"/>
        </w:rPr>
        <w:t>归案的情况。</w:t>
      </w:r>
    </w:p>
    <w:p>
      <w:pPr>
        <w:spacing w:line="500" w:lineRule="exact"/>
        <w:ind w:firstLine="640" w:firstLineChars="200"/>
        <w:rPr>
          <w:rFonts w:hint="eastAsia" w:ascii="仿宋_GB2312" w:eastAsia="仿宋_GB2312"/>
          <w:color w:val="000000"/>
          <w:sz w:val="32"/>
          <w:szCs w:val="32"/>
        </w:rPr>
      </w:pPr>
      <w:r>
        <w:rPr>
          <w:rFonts w:hint="eastAsia" w:ascii="仿宋_GB2312" w:eastAsia="仿宋_GB2312"/>
          <w:color w:val="000000"/>
          <w:sz w:val="32"/>
          <w:szCs w:val="32"/>
        </w:rPr>
        <w:t>以上证据经庭审质证，证据均系司法机关依法取得，能相互印证证明本案事实，对证据的证明效力予以确认。</w:t>
      </w:r>
    </w:p>
    <w:p>
      <w:pPr>
        <w:spacing w:line="500" w:lineRule="exact"/>
        <w:ind w:firstLine="640" w:firstLineChars="200"/>
        <w:rPr>
          <w:rFonts w:hint="eastAsia" w:ascii="仿宋_GB2312" w:eastAsia="仿宋_GB2312"/>
          <w:kern w:val="0"/>
          <w:sz w:val="32"/>
          <w:szCs w:val="32"/>
        </w:rPr>
      </w:pPr>
      <w:r>
        <w:rPr>
          <w:rFonts w:hint="eastAsia" w:ascii="仿宋_GB2312" w:eastAsia="仿宋_GB2312"/>
          <w:color w:val="000000"/>
          <w:sz w:val="32"/>
          <w:szCs w:val="32"/>
        </w:rPr>
        <w:t>原审法院根据本案事实及证据，认定被告人</w:t>
      </w:r>
      <w:r>
        <w:rPr>
          <w:rFonts w:hint="eastAsia" w:ascii="仿宋_GB2312" w:eastAsia="仿宋_GB2312"/>
          <w:kern w:val="0"/>
          <w:sz w:val="32"/>
          <w:szCs w:val="32"/>
        </w:rPr>
        <w:t>郭庭山以非法占有为目的，使用信用卡恶意透支共计人民币113159.76元，数额巨大，经发卡行多次催收，超过规定期限仍不归还，其行为已构成信用卡诈骗罪</w:t>
      </w:r>
      <w:r>
        <w:rPr>
          <w:rFonts w:hint="eastAsia" w:ascii="仿宋_GB2312" w:eastAsia="仿宋_GB2312"/>
          <w:sz w:val="32"/>
          <w:szCs w:val="32"/>
        </w:rPr>
        <w:t>。被告人郭庭山案发后经公安机关电话传唤后，主动到案接受调查，应认定为自首，但其在审判期间脱逃，依法不能认定为自首。</w:t>
      </w:r>
      <w:r>
        <w:rPr>
          <w:rFonts w:hint="eastAsia" w:ascii="仿宋_GB2312" w:eastAsia="仿宋_GB2312"/>
          <w:kern w:val="0"/>
          <w:sz w:val="32"/>
          <w:szCs w:val="32"/>
        </w:rPr>
        <w:t>依照《中华人民共和国刑法》第一百九十六条第一款第（四）项、第二款，《</w:t>
      </w:r>
      <w:r>
        <w:rPr>
          <w:rFonts w:hint="eastAsia" w:ascii="仿宋_GB2312" w:hAnsi="ˎ̥" w:eastAsia="仿宋_GB2312"/>
          <w:color w:val="000000"/>
          <w:sz w:val="32"/>
          <w:szCs w:val="32"/>
        </w:rPr>
        <w:t>最高人民法院关于处理自首和立功具体应用法律若干问题的解释》</w:t>
      </w:r>
      <w:r>
        <w:rPr>
          <w:rFonts w:hint="eastAsia" w:ascii="仿宋_GB2312" w:eastAsia="仿宋_GB2312"/>
          <w:kern w:val="0"/>
          <w:sz w:val="32"/>
          <w:szCs w:val="32"/>
        </w:rPr>
        <w:t>第一条第一款第（一）项之规定，判决：被告人郭庭山犯信用卡诈骗罪，判处有期徒刑五年</w:t>
      </w:r>
      <w:r>
        <w:rPr>
          <w:rFonts w:hint="eastAsia" w:ascii="仿宋_GB2312" w:eastAsia="仿宋_GB2312"/>
          <w:bCs/>
          <w:kern w:val="0"/>
          <w:sz w:val="32"/>
          <w:szCs w:val="32"/>
          <w:lang w:val="zh-CN"/>
        </w:rPr>
        <w:t>，并处</w:t>
      </w:r>
      <w:r>
        <w:rPr>
          <w:rFonts w:hint="eastAsia" w:ascii="仿宋_GB2312" w:eastAsia="仿宋_GB2312"/>
          <w:kern w:val="0"/>
          <w:sz w:val="32"/>
          <w:szCs w:val="32"/>
        </w:rPr>
        <w:t>罚金人民币50000元。</w:t>
      </w:r>
    </w:p>
    <w:p>
      <w:pPr>
        <w:spacing w:line="500" w:lineRule="exact"/>
        <w:ind w:firstLine="640" w:firstLineChars="200"/>
        <w:rPr>
          <w:rFonts w:hint="eastAsia" w:ascii="仿宋_GB2312" w:eastAsia="仿宋_GB2312" w:cs="宋体"/>
          <w:kern w:val="0"/>
          <w:sz w:val="32"/>
          <w:szCs w:val="32"/>
          <w:lang w:val="zh-CN"/>
        </w:rPr>
      </w:pPr>
      <w:r>
        <w:rPr>
          <w:rFonts w:hint="eastAsia" w:ascii="仿宋_GB2312" w:eastAsia="仿宋_GB2312"/>
          <w:color w:val="000000"/>
          <w:sz w:val="32"/>
          <w:szCs w:val="32"/>
        </w:rPr>
        <w:t>原审被告人</w:t>
      </w:r>
      <w:r>
        <w:rPr>
          <w:rFonts w:hint="eastAsia" w:ascii="仿宋_GB2312" w:eastAsia="仿宋_GB2312"/>
          <w:kern w:val="0"/>
          <w:sz w:val="32"/>
          <w:szCs w:val="32"/>
        </w:rPr>
        <w:t>郭庭山</w:t>
      </w:r>
      <w:r>
        <w:rPr>
          <w:rFonts w:hint="eastAsia" w:ascii="仿宋_GB2312" w:eastAsia="仿宋_GB2312"/>
          <w:color w:val="000000"/>
          <w:sz w:val="32"/>
          <w:szCs w:val="32"/>
        </w:rPr>
        <w:t>不服原审判决，提出上诉。其辩解具有自首行为，且欠款本金计算错误。其辩护人提出如下辩护意见：1、涉案金额有误。原审判决认定的本金包含了</w:t>
      </w:r>
      <w:r>
        <w:rPr>
          <w:rFonts w:hint="eastAsia" w:ascii="仿宋_GB2312" w:eastAsia="仿宋_GB2312"/>
          <w:sz w:val="32"/>
          <w:szCs w:val="32"/>
        </w:rPr>
        <w:t>手续费</w:t>
      </w:r>
      <w:r>
        <w:rPr>
          <w:rFonts w:hint="eastAsia" w:ascii="仿宋_GB2312" w:eastAsia="仿宋_GB2312"/>
          <w:color w:val="000000"/>
          <w:sz w:val="32"/>
          <w:szCs w:val="32"/>
        </w:rPr>
        <w:t>、复利等。2、</w:t>
      </w:r>
      <w:r>
        <w:rPr>
          <w:rFonts w:hint="eastAsia" w:ascii="仿宋_GB2312" w:eastAsia="仿宋_GB2312"/>
          <w:kern w:val="0"/>
          <w:sz w:val="32"/>
          <w:szCs w:val="32"/>
        </w:rPr>
        <w:t>郭庭山具有自首情节，还具有如实供述、认罪、悔罪、主动归还所欠本金等从轻、减轻处罚的情节，希望对其适用缓刑。</w:t>
      </w:r>
    </w:p>
    <w:p>
      <w:pPr>
        <w:spacing w:line="500" w:lineRule="exact"/>
        <w:ind w:firstLine="633" w:firstLineChars="198"/>
        <w:rPr>
          <w:rFonts w:hint="eastAsia" w:ascii="仿宋_GB2312" w:eastAsia="仿宋_GB2312"/>
          <w:sz w:val="32"/>
          <w:szCs w:val="32"/>
        </w:rPr>
      </w:pPr>
      <w:r>
        <w:rPr>
          <w:rFonts w:hint="eastAsia" w:ascii="仿宋_GB2312" w:eastAsia="仿宋_GB2312"/>
          <w:sz w:val="32"/>
          <w:szCs w:val="32"/>
        </w:rPr>
        <w:t>天津市人民检察院第二分院意见：1、上诉人</w:t>
      </w:r>
      <w:r>
        <w:rPr>
          <w:rFonts w:hint="eastAsia" w:ascii="仿宋_GB2312" w:eastAsia="仿宋_GB2312"/>
          <w:kern w:val="0"/>
          <w:sz w:val="32"/>
          <w:szCs w:val="32"/>
        </w:rPr>
        <w:t>郭庭山在法院审理期间脱逃，其行为不构成自首</w:t>
      </w:r>
      <w:r>
        <w:rPr>
          <w:rFonts w:hint="eastAsia" w:ascii="仿宋_GB2312" w:eastAsia="仿宋_GB2312"/>
          <w:sz w:val="32"/>
          <w:szCs w:val="32"/>
        </w:rPr>
        <w:t>。2、审理性用卡诈骗案件，计算本金时，不应包含复利、滞纳金、手续费等。建议本院在核实上诉人</w:t>
      </w:r>
      <w:r>
        <w:rPr>
          <w:rFonts w:hint="eastAsia" w:ascii="仿宋_GB2312" w:eastAsia="仿宋_GB2312"/>
          <w:kern w:val="0"/>
          <w:sz w:val="32"/>
          <w:szCs w:val="32"/>
        </w:rPr>
        <w:t>郭庭山实际诈骗本金数额的基础上，</w:t>
      </w:r>
      <w:r>
        <w:rPr>
          <w:rFonts w:hint="eastAsia" w:ascii="仿宋_GB2312" w:eastAsia="仿宋_GB2312"/>
          <w:sz w:val="32"/>
          <w:szCs w:val="32"/>
        </w:rPr>
        <w:t>依法酌处。</w:t>
      </w:r>
    </w:p>
    <w:p>
      <w:pPr>
        <w:widowControl/>
        <w:snapToGrid w:val="0"/>
        <w:spacing w:line="48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经审理查明，上诉人</w:t>
      </w:r>
      <w:r>
        <w:rPr>
          <w:rFonts w:hint="eastAsia" w:ascii="仿宋_GB2312" w:eastAsia="仿宋_GB2312"/>
          <w:kern w:val="0"/>
          <w:sz w:val="32"/>
          <w:szCs w:val="32"/>
        </w:rPr>
        <w:t>郭庭山2010年7月21日，在交通银行天津市分行申领卡号为6222531210229392的信用卡一张，消费记录显示，截止至2013年8月18日，</w:t>
      </w:r>
      <w:r>
        <w:rPr>
          <w:rFonts w:hint="eastAsia" w:ascii="仿宋_GB2312" w:eastAsia="仿宋_GB2312"/>
          <w:color w:val="000000"/>
          <w:sz w:val="32"/>
          <w:szCs w:val="32"/>
        </w:rPr>
        <w:t>上诉人</w:t>
      </w:r>
      <w:r>
        <w:rPr>
          <w:rFonts w:hint="eastAsia" w:ascii="仿宋_GB2312" w:eastAsia="仿宋_GB2312"/>
          <w:kern w:val="0"/>
          <w:sz w:val="32"/>
          <w:szCs w:val="32"/>
        </w:rPr>
        <w:t>郭庭山累计消费人民币310726.01元，已归还人民币221445元，尚欠本金数额为人民币89281.01元。</w:t>
      </w:r>
    </w:p>
    <w:p>
      <w:pPr>
        <w:widowControl/>
        <w:snapToGrid w:val="0"/>
        <w:spacing w:line="480" w:lineRule="exact"/>
        <w:ind w:firstLine="645"/>
        <w:rPr>
          <w:rFonts w:hint="eastAsia" w:ascii="仿宋_GB2312" w:eastAsia="仿宋_GB2312"/>
          <w:color w:val="000000"/>
          <w:sz w:val="32"/>
          <w:szCs w:val="32"/>
        </w:rPr>
      </w:pPr>
      <w:r>
        <w:rPr>
          <w:rFonts w:hint="eastAsia" w:ascii="仿宋_GB2312" w:eastAsia="仿宋_GB2312"/>
          <w:sz w:val="32"/>
          <w:szCs w:val="32"/>
        </w:rPr>
        <w:t>二审查明的其他事实与一审判决认定的事实一致。</w:t>
      </w:r>
    </w:p>
    <w:p>
      <w:pPr>
        <w:widowControl/>
        <w:snapToGrid w:val="0"/>
        <w:spacing w:line="480" w:lineRule="exact"/>
        <w:ind w:firstLine="645"/>
        <w:rPr>
          <w:rFonts w:hint="eastAsia" w:ascii="仿宋_GB2312" w:eastAsia="仿宋_GB2312"/>
          <w:color w:val="000000"/>
          <w:sz w:val="32"/>
          <w:szCs w:val="32"/>
        </w:rPr>
      </w:pPr>
      <w:r>
        <w:rPr>
          <w:rFonts w:hint="eastAsia" w:ascii="仿宋_GB2312" w:eastAsia="仿宋_GB2312"/>
          <w:sz w:val="32"/>
          <w:szCs w:val="32"/>
        </w:rPr>
        <w:t>上述事实有公安机关出具的案件来源，抓获经过，上诉人郭庭山供述，被害单位工作人员张益某的陈述及报案材料，申领信用卡的相关手续，消费记录及催收记录，还款凭证，被告人的户籍材料，公安机关出具的案件来源、抓获经过等证据予以证实。</w:t>
      </w:r>
    </w:p>
    <w:p>
      <w:pPr>
        <w:widowControl/>
        <w:spacing w:line="480" w:lineRule="exact"/>
        <w:ind w:firstLine="640" w:firstLineChars="200"/>
        <w:jc w:val="left"/>
        <w:rPr>
          <w:rFonts w:hint="eastAsia" w:ascii="仿宋_GB2312" w:eastAsia="仿宋_GB2312"/>
          <w:color w:val="000000"/>
          <w:sz w:val="32"/>
          <w:szCs w:val="32"/>
        </w:rPr>
      </w:pPr>
      <w:r>
        <w:rPr>
          <w:rFonts w:hint="eastAsia" w:ascii="仿宋_GB2312" w:eastAsia="仿宋_GB2312"/>
          <w:color w:val="000000"/>
          <w:sz w:val="32"/>
          <w:szCs w:val="32"/>
        </w:rPr>
        <w:t>上述证据来源合法，内容客观真实，各证据之间互有关联性，能证实本案事实，本院予以确认。</w:t>
      </w:r>
    </w:p>
    <w:p>
      <w:pPr>
        <w:widowControl/>
        <w:snapToGrid w:val="0"/>
        <w:spacing w:line="500" w:lineRule="exact"/>
        <w:ind w:firstLine="645"/>
        <w:rPr>
          <w:rFonts w:hint="eastAsia" w:ascii="仿宋_GB2312" w:eastAsia="仿宋_GB2312"/>
          <w:color w:val="000000"/>
          <w:sz w:val="32"/>
          <w:szCs w:val="32"/>
        </w:rPr>
      </w:pPr>
      <w:r>
        <w:rPr>
          <w:rFonts w:hint="eastAsia" w:ascii="仿宋_GB2312" w:eastAsia="仿宋_GB2312"/>
          <w:color w:val="000000"/>
          <w:sz w:val="32"/>
          <w:szCs w:val="32"/>
        </w:rPr>
        <w:t>本院认为，上诉人</w:t>
      </w:r>
      <w:r>
        <w:rPr>
          <w:rFonts w:hint="eastAsia" w:ascii="仿宋_GB2312" w:eastAsia="仿宋_GB2312"/>
          <w:kern w:val="0"/>
          <w:sz w:val="32"/>
          <w:szCs w:val="32"/>
        </w:rPr>
        <w:t>郭庭山目无国家法律，以非法占有为目的，使用信用卡恶意透支人民币89281.01元，数额较大，经发卡行多次催收，超过规定期限仍不归还，其行为已构成信用卡诈骗罪</w:t>
      </w:r>
      <w:r>
        <w:rPr>
          <w:rFonts w:hint="eastAsia" w:ascii="仿宋_GB2312" w:eastAsia="仿宋_GB2312"/>
          <w:sz w:val="32"/>
          <w:szCs w:val="32"/>
        </w:rPr>
        <w:t>，</w:t>
      </w:r>
      <w:r>
        <w:rPr>
          <w:rFonts w:hint="eastAsia" w:ascii="仿宋_GB2312" w:eastAsia="仿宋_GB2312" w:cs="宋体"/>
          <w:kern w:val="0"/>
          <w:sz w:val="32"/>
          <w:szCs w:val="32"/>
          <w:lang w:val="zh-CN"/>
        </w:rPr>
        <w:t>依法应予惩处。</w:t>
      </w:r>
      <w:r>
        <w:rPr>
          <w:rFonts w:hint="eastAsia" w:ascii="仿宋_GB2312" w:eastAsia="仿宋_GB2312"/>
          <w:color w:val="000000"/>
          <w:sz w:val="32"/>
          <w:szCs w:val="32"/>
        </w:rPr>
        <w:t>针对上诉人</w:t>
      </w:r>
      <w:r>
        <w:rPr>
          <w:rFonts w:hint="eastAsia" w:ascii="仿宋_GB2312" w:eastAsia="仿宋_GB2312"/>
          <w:kern w:val="0"/>
          <w:sz w:val="32"/>
          <w:szCs w:val="32"/>
        </w:rPr>
        <w:t>郭庭山及其辩护人</w:t>
      </w:r>
      <w:r>
        <w:rPr>
          <w:rFonts w:hint="eastAsia" w:ascii="仿宋_GB2312" w:eastAsia="仿宋_GB2312"/>
          <w:sz w:val="32"/>
          <w:szCs w:val="32"/>
        </w:rPr>
        <w:t>提出</w:t>
      </w:r>
      <w:r>
        <w:rPr>
          <w:rFonts w:hint="eastAsia" w:ascii="仿宋_GB2312" w:eastAsia="仿宋_GB2312" w:cs="宋体"/>
          <w:color w:val="000000"/>
          <w:kern w:val="0"/>
          <w:sz w:val="32"/>
          <w:szCs w:val="32"/>
          <w:lang w:val="zh-CN"/>
        </w:rPr>
        <w:t>的上诉理由</w:t>
      </w:r>
      <w:r>
        <w:rPr>
          <w:rFonts w:hint="eastAsia" w:ascii="仿宋_GB2312" w:eastAsia="仿宋_GB2312"/>
          <w:color w:val="000000"/>
          <w:sz w:val="32"/>
          <w:szCs w:val="32"/>
        </w:rPr>
        <w:t>，经查，</w:t>
      </w:r>
      <w:bookmarkStart w:id="1" w:name="up"/>
      <w:bookmarkEnd w:id="1"/>
      <w:bookmarkStart w:id="2" w:name="196"/>
      <w:r>
        <w:rPr>
          <w:rFonts w:hint="eastAsia" w:ascii="仿宋_GB2312" w:eastAsia="仿宋_GB2312"/>
          <w:color w:val="000000"/>
          <w:sz w:val="32"/>
          <w:szCs w:val="32"/>
        </w:rPr>
        <w:t>第一、上诉人</w:t>
      </w:r>
      <w:r>
        <w:rPr>
          <w:rFonts w:hint="eastAsia" w:ascii="仿宋_GB2312" w:eastAsia="仿宋_GB2312"/>
          <w:kern w:val="0"/>
          <w:sz w:val="32"/>
          <w:szCs w:val="32"/>
        </w:rPr>
        <w:t>郭庭山在被取保候审的情况下，在原审法院审理期间脱逃，致使原审法院中止案件审理，最后经公安机关网上追逃，将其逮捕归案。其行为符合《</w:t>
      </w:r>
      <w:r>
        <w:rPr>
          <w:rFonts w:hint="eastAsia" w:ascii="仿宋_GB2312" w:hAnsi="ˎ̥" w:eastAsia="仿宋_GB2312"/>
          <w:color w:val="000000"/>
          <w:sz w:val="32"/>
          <w:szCs w:val="32"/>
        </w:rPr>
        <w:t>最高人民法院关于处理自首和立功具体应用法律若干问题的解释》</w:t>
      </w:r>
      <w:r>
        <w:rPr>
          <w:rFonts w:hint="eastAsia" w:ascii="仿宋_GB2312" w:eastAsia="仿宋_GB2312"/>
          <w:kern w:val="0"/>
          <w:sz w:val="32"/>
          <w:szCs w:val="32"/>
        </w:rPr>
        <w:t>第一条第一款第（一）项 “犯罪嫌疑人自动归案后又逃跑的，不能认定为自首” 的规定，故其行为不能认定为自首。</w:t>
      </w:r>
      <w:r>
        <w:rPr>
          <w:rFonts w:hint="eastAsia" w:ascii="仿宋_GB2312" w:eastAsia="仿宋_GB2312"/>
          <w:color w:val="000000"/>
          <w:sz w:val="32"/>
          <w:szCs w:val="32"/>
        </w:rPr>
        <w:t>上诉人</w:t>
      </w:r>
      <w:r>
        <w:rPr>
          <w:rFonts w:hint="eastAsia" w:ascii="仿宋_GB2312" w:eastAsia="仿宋_GB2312"/>
          <w:kern w:val="0"/>
          <w:sz w:val="32"/>
          <w:szCs w:val="32"/>
        </w:rPr>
        <w:t>郭庭山及其辩护人提出郭庭山具有自首情节的上诉理由及辩护意见，无事实及法律依据，本院不予支持。第二、依据交通银行天津市分行信用卡（卡号：6222531210229392）消费及还款记录，经核算，</w:t>
      </w:r>
      <w:r>
        <w:rPr>
          <w:rFonts w:hint="eastAsia" w:ascii="仿宋_GB2312" w:eastAsia="仿宋_GB2312"/>
          <w:color w:val="000000"/>
          <w:sz w:val="32"/>
          <w:szCs w:val="32"/>
        </w:rPr>
        <w:t>上诉人</w:t>
      </w:r>
      <w:r>
        <w:rPr>
          <w:rFonts w:hint="eastAsia" w:ascii="仿宋_GB2312" w:eastAsia="仿宋_GB2312"/>
          <w:kern w:val="0"/>
          <w:sz w:val="32"/>
          <w:szCs w:val="32"/>
        </w:rPr>
        <w:t>郭庭山累计消费人民币310726.01元，已归还人民币221445元，故其欠款本金应为人民币310726.01元-221445元=89281.01元。</w:t>
      </w:r>
      <w:r>
        <w:rPr>
          <w:rFonts w:hint="eastAsia" w:ascii="仿宋_GB2312" w:eastAsia="仿宋_GB2312"/>
          <w:color w:val="000000"/>
          <w:sz w:val="32"/>
          <w:szCs w:val="32"/>
        </w:rPr>
        <w:t>上诉人</w:t>
      </w:r>
      <w:r>
        <w:rPr>
          <w:rFonts w:hint="eastAsia" w:ascii="仿宋_GB2312" w:eastAsia="仿宋_GB2312"/>
          <w:kern w:val="0"/>
          <w:sz w:val="32"/>
          <w:szCs w:val="32"/>
        </w:rPr>
        <w:t>郭庭山及其辩护人认为欠款本金计算有误的上诉理由及辩护意见正确，本院予以支持。</w:t>
      </w:r>
      <w:r>
        <w:rPr>
          <w:rFonts w:hint="eastAsia" w:ascii="仿宋_GB2312" w:eastAsia="仿宋_GB2312"/>
          <w:sz w:val="32"/>
          <w:szCs w:val="32"/>
        </w:rPr>
        <w:t>天津市人民检察院第二分院认为上诉人</w:t>
      </w:r>
      <w:r>
        <w:rPr>
          <w:rFonts w:hint="eastAsia" w:ascii="仿宋_GB2312" w:eastAsia="仿宋_GB2312"/>
          <w:kern w:val="0"/>
          <w:sz w:val="32"/>
          <w:szCs w:val="32"/>
        </w:rPr>
        <w:t>郭庭山的行为不构成自首</w:t>
      </w:r>
      <w:r>
        <w:rPr>
          <w:rFonts w:hint="eastAsia" w:ascii="仿宋_GB2312" w:eastAsia="仿宋_GB2312"/>
          <w:sz w:val="32"/>
          <w:szCs w:val="32"/>
        </w:rPr>
        <w:t>，建议核实上诉人</w:t>
      </w:r>
      <w:r>
        <w:rPr>
          <w:rFonts w:hint="eastAsia" w:ascii="仿宋_GB2312" w:eastAsia="仿宋_GB2312"/>
          <w:kern w:val="0"/>
          <w:sz w:val="32"/>
          <w:szCs w:val="32"/>
        </w:rPr>
        <w:t>郭庭山实际诈骗本金数额，</w:t>
      </w:r>
      <w:r>
        <w:rPr>
          <w:rFonts w:hint="eastAsia" w:ascii="仿宋_GB2312" w:eastAsia="仿宋_GB2312"/>
          <w:sz w:val="32"/>
          <w:szCs w:val="32"/>
        </w:rPr>
        <w:t>依法酌处的意见正确，本院予以采纳。</w:t>
      </w:r>
      <w:r>
        <w:rPr>
          <w:rFonts w:hint="eastAsia" w:ascii="仿宋_GB2312" w:eastAsia="仿宋_GB2312"/>
          <w:color w:val="000000"/>
          <w:sz w:val="32"/>
          <w:szCs w:val="32"/>
        </w:rPr>
        <w:t>《中华人民共和国刑法》</w:t>
      </w:r>
      <w:r>
        <w:rPr>
          <w:rFonts w:hint="eastAsia" w:ascii="仿宋_GB2312" w:eastAsia="仿宋_GB2312" w:cs="宋体"/>
          <w:kern w:val="0"/>
          <w:sz w:val="32"/>
          <w:szCs w:val="32"/>
          <w:lang w:val="zh-CN"/>
        </w:rPr>
        <w:t>第一百九十六条第一款第（四）项、第二款规定，</w:t>
      </w:r>
      <w:r>
        <w:rPr>
          <w:rFonts w:hint="eastAsia" w:ascii="仿宋_GB2312" w:hAnsi="ˎ̥" w:eastAsia="仿宋_GB2312"/>
          <w:color w:val="000000"/>
          <w:sz w:val="32"/>
          <w:szCs w:val="32"/>
        </w:rPr>
        <w:t>恶意透支是指持卡人以非法占有为目的，超过规定限额或者规定期限透支，并且经发卡银行催收后仍不归还的行为。有恶意透支情形，进行信用卡诈骗活动，数额较大的，处五年以下有期徒刑或者拘役，并处二万元以上二十万元以下罚金。《最高人民法院、最高人民检察院关于办理妨害信用卡管理刑事案件具体应用法律若干问题的解释》</w:t>
      </w:r>
      <w:r>
        <w:rPr>
          <w:rFonts w:hint="eastAsia" w:ascii="仿宋_GB2312" w:hAnsi="ˎ̥" w:eastAsia="仿宋_GB2312"/>
          <w:bCs/>
          <w:smallCaps/>
          <w:color w:val="000000"/>
          <w:sz w:val="32"/>
          <w:szCs w:val="32"/>
        </w:rPr>
        <w:t>第六条规定，</w:t>
      </w:r>
      <w:r>
        <w:rPr>
          <w:rFonts w:hint="eastAsia" w:ascii="仿宋_GB2312" w:hAnsi="ˎ̥" w:eastAsia="仿宋_GB2312"/>
          <w:color w:val="000000"/>
          <w:sz w:val="32"/>
          <w:szCs w:val="32"/>
        </w:rPr>
        <w:t>恶意透支，数额在1万元以上不满10万元的，应当认定为</w:t>
      </w:r>
      <w:r>
        <w:rPr>
          <w:rFonts w:hint="eastAsia" w:ascii="仿宋_GB2312" w:hAnsi="ˎ̥" w:eastAsia="仿宋_GB2312"/>
          <w:sz w:val="32"/>
          <w:szCs w:val="32"/>
        </w:rPr>
        <w:fldChar w:fldCharType="begin"/>
      </w:r>
      <w:r>
        <w:rPr>
          <w:rFonts w:hint="eastAsia" w:ascii="仿宋_GB2312" w:hAnsi="ˎ̥" w:eastAsia="仿宋_GB2312"/>
          <w:sz w:val="32"/>
          <w:szCs w:val="32"/>
        </w:rPr>
        <w:instrText xml:space="preserve"> HYPERLINK "javascript:SLC(17010,0)" </w:instrText>
      </w:r>
      <w:r>
        <w:rPr>
          <w:rFonts w:hint="eastAsia" w:ascii="仿宋_GB2312" w:hAnsi="ˎ̥" w:eastAsia="仿宋_GB2312"/>
          <w:sz w:val="32"/>
          <w:szCs w:val="32"/>
        </w:rPr>
        <w:fldChar w:fldCharType="separate"/>
      </w:r>
      <w:r>
        <w:rPr>
          <w:rStyle w:val="7"/>
          <w:rFonts w:hint="eastAsia" w:ascii="仿宋_GB2312" w:eastAsia="仿宋_GB2312"/>
          <w:color w:val="auto"/>
          <w:sz w:val="32"/>
          <w:szCs w:val="32"/>
        </w:rPr>
        <w:t>刑法</w:t>
      </w:r>
      <w:r>
        <w:rPr>
          <w:rFonts w:hint="eastAsia" w:ascii="仿宋_GB2312" w:hAnsi="ˎ̥" w:eastAsia="仿宋_GB2312"/>
          <w:sz w:val="32"/>
          <w:szCs w:val="32"/>
        </w:rPr>
        <w:fldChar w:fldCharType="end"/>
      </w:r>
      <w:r>
        <w:rPr>
          <w:rFonts w:hint="eastAsia" w:ascii="仿宋_GB2312" w:hAnsi="ˎ̥" w:eastAsia="仿宋_GB2312"/>
          <w:sz w:val="32"/>
          <w:szCs w:val="32"/>
        </w:rPr>
        <w:t>第</w:t>
      </w:r>
      <w:r>
        <w:rPr>
          <w:rFonts w:hint="eastAsia" w:ascii="仿宋_GB2312" w:hAnsi="ˎ̥" w:eastAsia="仿宋_GB2312"/>
          <w:sz w:val="32"/>
          <w:szCs w:val="32"/>
        </w:rPr>
        <w:fldChar w:fldCharType="begin"/>
      </w:r>
      <w:r>
        <w:rPr>
          <w:rFonts w:hint="eastAsia" w:ascii="仿宋_GB2312" w:hAnsi="ˎ̥" w:eastAsia="仿宋_GB2312"/>
          <w:sz w:val="32"/>
          <w:szCs w:val="32"/>
        </w:rPr>
        <w:instrText xml:space="preserve"> HYPERLINK "javascript:SLC(17010,196)" </w:instrText>
      </w:r>
      <w:r>
        <w:rPr>
          <w:rFonts w:hint="eastAsia" w:ascii="仿宋_GB2312" w:hAnsi="ˎ̥" w:eastAsia="仿宋_GB2312"/>
          <w:sz w:val="32"/>
          <w:szCs w:val="32"/>
        </w:rPr>
        <w:fldChar w:fldCharType="separate"/>
      </w:r>
      <w:r>
        <w:rPr>
          <w:rStyle w:val="7"/>
          <w:rFonts w:hint="eastAsia" w:ascii="仿宋_GB2312" w:eastAsia="仿宋_GB2312"/>
          <w:color w:val="auto"/>
          <w:sz w:val="32"/>
          <w:szCs w:val="32"/>
        </w:rPr>
        <w:t>一百九十六条</w:t>
      </w:r>
      <w:r>
        <w:rPr>
          <w:rFonts w:hint="eastAsia" w:ascii="仿宋_GB2312" w:hAnsi="ˎ̥" w:eastAsia="仿宋_GB2312"/>
          <w:sz w:val="32"/>
          <w:szCs w:val="32"/>
        </w:rPr>
        <w:fldChar w:fldCharType="end"/>
      </w:r>
      <w:r>
        <w:rPr>
          <w:rFonts w:hint="eastAsia" w:ascii="仿宋_GB2312" w:hAnsi="ˎ̥" w:eastAsia="仿宋_GB2312"/>
          <w:sz w:val="32"/>
          <w:szCs w:val="32"/>
        </w:rPr>
        <w:t>规定的“数额较大”</w:t>
      </w:r>
      <w:r>
        <w:rPr>
          <w:rFonts w:hint="eastAsia" w:ascii="仿宋_GB2312" w:hAnsi="ˎ̥" w:eastAsia="仿宋_GB2312"/>
          <w:color w:val="000000"/>
          <w:sz w:val="32"/>
          <w:szCs w:val="32"/>
        </w:rPr>
        <w:t>。</w:t>
      </w:r>
      <w:bookmarkEnd w:id="2"/>
      <w:r>
        <w:rPr>
          <w:rFonts w:hint="eastAsia" w:ascii="仿宋_GB2312" w:hAnsi="ˎ̥" w:eastAsia="仿宋_GB2312"/>
          <w:color w:val="000000"/>
          <w:sz w:val="32"/>
          <w:szCs w:val="32"/>
        </w:rPr>
        <w:t>根据上述法律及司法解释的规定，应认定</w:t>
      </w:r>
      <w:r>
        <w:rPr>
          <w:rFonts w:hint="eastAsia" w:ascii="仿宋_GB2312" w:eastAsia="仿宋_GB2312"/>
          <w:color w:val="000000"/>
          <w:sz w:val="32"/>
          <w:szCs w:val="32"/>
        </w:rPr>
        <w:t>上诉人</w:t>
      </w:r>
      <w:r>
        <w:rPr>
          <w:rFonts w:hint="eastAsia" w:ascii="仿宋_GB2312" w:eastAsia="仿宋_GB2312"/>
          <w:kern w:val="0"/>
          <w:sz w:val="32"/>
          <w:szCs w:val="32"/>
        </w:rPr>
        <w:t>郭庭山使用信用卡恶意透支数额较大。综上，考虑</w:t>
      </w:r>
      <w:r>
        <w:rPr>
          <w:rFonts w:hint="eastAsia" w:ascii="仿宋_GB2312" w:eastAsia="仿宋_GB2312"/>
          <w:color w:val="000000"/>
          <w:sz w:val="32"/>
          <w:szCs w:val="32"/>
        </w:rPr>
        <w:t>上诉人</w:t>
      </w:r>
      <w:r>
        <w:rPr>
          <w:rFonts w:hint="eastAsia" w:ascii="仿宋_GB2312" w:eastAsia="仿宋_GB2312"/>
          <w:kern w:val="0"/>
          <w:sz w:val="32"/>
          <w:szCs w:val="32"/>
        </w:rPr>
        <w:t>郭庭山在案发后已归还部分银行欠款、认罪、悔罪等情节，</w:t>
      </w:r>
      <w:r>
        <w:rPr>
          <w:rFonts w:hint="eastAsia" w:ascii="仿宋_GB2312" w:eastAsia="仿宋_GB2312"/>
          <w:color w:val="000000"/>
          <w:sz w:val="32"/>
          <w:szCs w:val="32"/>
        </w:rPr>
        <w:t>依照《中华人民共和国刑法》</w:t>
      </w:r>
      <w:r>
        <w:rPr>
          <w:rFonts w:hint="eastAsia" w:ascii="仿宋_GB2312" w:eastAsia="仿宋_GB2312" w:cs="宋体"/>
          <w:kern w:val="0"/>
          <w:sz w:val="32"/>
          <w:szCs w:val="32"/>
          <w:lang w:val="zh-CN"/>
        </w:rPr>
        <w:t>第一百九十六条第一款第（四）项、第二款，</w:t>
      </w:r>
      <w:r>
        <w:rPr>
          <w:rFonts w:hint="eastAsia" w:ascii="仿宋_GB2312" w:hAnsi="ˎ̥" w:eastAsia="仿宋_GB2312"/>
          <w:color w:val="000000"/>
          <w:sz w:val="32"/>
          <w:szCs w:val="32"/>
        </w:rPr>
        <w:t>《最高人民法院、最高人民检察院关于办理妨害信用卡管理刑事案件具体应用法律若干问题的解释》</w:t>
      </w:r>
      <w:r>
        <w:rPr>
          <w:rFonts w:hint="eastAsia" w:ascii="仿宋_GB2312" w:hAnsi="ˎ̥" w:eastAsia="仿宋_GB2312"/>
          <w:bCs/>
          <w:smallCaps/>
          <w:color w:val="000000"/>
          <w:sz w:val="32"/>
          <w:szCs w:val="32"/>
        </w:rPr>
        <w:t>第六条，</w:t>
      </w:r>
      <w:r>
        <w:rPr>
          <w:rFonts w:hint="eastAsia" w:ascii="仿宋_GB2312" w:eastAsia="仿宋_GB2312"/>
          <w:kern w:val="0"/>
          <w:sz w:val="32"/>
          <w:szCs w:val="32"/>
        </w:rPr>
        <w:t>《</w:t>
      </w:r>
      <w:r>
        <w:rPr>
          <w:rFonts w:hint="eastAsia" w:ascii="仿宋_GB2312" w:hAnsi="ˎ̥" w:eastAsia="仿宋_GB2312"/>
          <w:color w:val="000000"/>
          <w:sz w:val="32"/>
          <w:szCs w:val="32"/>
        </w:rPr>
        <w:t>最高人民法院关于处理自首和立功具体应用法律若干问题的解释》</w:t>
      </w:r>
      <w:r>
        <w:rPr>
          <w:rFonts w:hint="eastAsia" w:ascii="仿宋_GB2312" w:eastAsia="仿宋_GB2312"/>
          <w:kern w:val="0"/>
          <w:sz w:val="32"/>
          <w:szCs w:val="32"/>
        </w:rPr>
        <w:t>第一条第一款第（一）项，</w:t>
      </w:r>
      <w:r>
        <w:rPr>
          <w:rFonts w:hint="eastAsia" w:ascii="仿宋_GB2312" w:eastAsia="仿宋_GB2312"/>
          <w:sz w:val="32"/>
        </w:rPr>
        <w:t>《中华人民共和国刑事诉讼法》第二百二十五条第一款第（三）项的规定，</w:t>
      </w:r>
      <w:r>
        <w:rPr>
          <w:rFonts w:hint="eastAsia" w:ascii="仿宋_GB2312" w:eastAsia="仿宋_GB2312"/>
          <w:color w:val="000000"/>
          <w:sz w:val="32"/>
          <w:szCs w:val="32"/>
        </w:rPr>
        <w:t>判决如下：</w:t>
      </w:r>
    </w:p>
    <w:p>
      <w:pPr>
        <w:spacing w:line="500" w:lineRule="exact"/>
        <w:ind w:firstLine="640"/>
        <w:rPr>
          <w:rFonts w:hint="eastAsia" w:ascii="仿宋_GB2312" w:eastAsia="仿宋_GB2312"/>
          <w:color w:val="000000"/>
          <w:sz w:val="32"/>
          <w:szCs w:val="32"/>
        </w:rPr>
      </w:pPr>
      <w:r>
        <w:rPr>
          <w:rFonts w:hint="eastAsia" w:ascii="仿宋_GB2312" w:eastAsia="仿宋_GB2312"/>
          <w:color w:val="000000"/>
          <w:sz w:val="32"/>
          <w:szCs w:val="32"/>
        </w:rPr>
        <w:t>一、撤销天津市河西区人民法院</w:t>
      </w:r>
      <w:r>
        <w:rPr>
          <w:rFonts w:hint="eastAsia" w:ascii="仿宋_GB2312" w:eastAsia="仿宋_GB2312"/>
          <w:kern w:val="0"/>
          <w:sz w:val="32"/>
          <w:szCs w:val="32"/>
        </w:rPr>
        <w:t>（2013）西刑初字第468号</w:t>
      </w:r>
      <w:r>
        <w:rPr>
          <w:rFonts w:hint="eastAsia" w:ascii="仿宋_GB2312" w:eastAsia="仿宋_GB2312"/>
          <w:color w:val="000000"/>
          <w:sz w:val="32"/>
          <w:szCs w:val="32"/>
        </w:rPr>
        <w:t>刑事判决；</w:t>
      </w:r>
    </w:p>
    <w:p>
      <w:pPr>
        <w:autoSpaceDE w:val="0"/>
        <w:autoSpaceDN w:val="0"/>
        <w:adjustRightInd w:val="0"/>
        <w:spacing w:line="500" w:lineRule="exact"/>
        <w:ind w:firstLine="640" w:firstLineChars="200"/>
        <w:rPr>
          <w:rFonts w:hint="eastAsia" w:ascii="仿宋_GB2312" w:eastAsia="仿宋_GB2312"/>
          <w:kern w:val="0"/>
          <w:sz w:val="32"/>
          <w:szCs w:val="32"/>
        </w:rPr>
      </w:pPr>
      <w:r>
        <w:rPr>
          <w:rFonts w:hint="eastAsia" w:ascii="仿宋_GB2312" w:eastAsia="仿宋_GB2312"/>
          <w:color w:val="000000"/>
          <w:sz w:val="32"/>
          <w:szCs w:val="32"/>
        </w:rPr>
        <w:t>二、上诉人(原审被告人)</w:t>
      </w:r>
      <w:r>
        <w:rPr>
          <w:rFonts w:hint="eastAsia" w:ascii="仿宋_GB2312" w:eastAsia="仿宋_GB2312"/>
          <w:kern w:val="0"/>
          <w:sz w:val="32"/>
          <w:szCs w:val="32"/>
        </w:rPr>
        <w:t>郭庭山</w:t>
      </w:r>
      <w:r>
        <w:rPr>
          <w:rFonts w:hint="eastAsia" w:ascii="仿宋_GB2312" w:eastAsia="仿宋_GB2312"/>
          <w:color w:val="000000"/>
          <w:sz w:val="32"/>
          <w:szCs w:val="32"/>
        </w:rPr>
        <w:t>犯</w:t>
      </w:r>
      <w:r>
        <w:rPr>
          <w:rFonts w:hint="eastAsia" w:ascii="仿宋_GB2312" w:eastAsia="仿宋_GB2312"/>
          <w:kern w:val="0"/>
          <w:sz w:val="32"/>
          <w:szCs w:val="32"/>
        </w:rPr>
        <w:t>信用卡诈骗罪</w:t>
      </w:r>
      <w:r>
        <w:rPr>
          <w:rFonts w:hint="eastAsia" w:ascii="仿宋_GB2312" w:eastAsia="仿宋_GB2312"/>
          <w:color w:val="000000"/>
          <w:sz w:val="32"/>
          <w:szCs w:val="32"/>
        </w:rPr>
        <w:t>，判处有期徒刑四年，</w:t>
      </w:r>
      <w:r>
        <w:rPr>
          <w:rFonts w:hint="eastAsia" w:ascii="仿宋_GB2312" w:eastAsia="仿宋_GB2312"/>
          <w:bCs/>
          <w:kern w:val="0"/>
          <w:sz w:val="32"/>
          <w:szCs w:val="32"/>
          <w:lang w:val="zh-CN"/>
        </w:rPr>
        <w:t>并处</w:t>
      </w:r>
      <w:r>
        <w:rPr>
          <w:rFonts w:hint="eastAsia" w:ascii="仿宋_GB2312" w:eastAsia="仿宋_GB2312"/>
          <w:kern w:val="0"/>
          <w:sz w:val="32"/>
          <w:szCs w:val="32"/>
        </w:rPr>
        <w:t>罚金人民币50000元。</w:t>
      </w:r>
    </w:p>
    <w:p>
      <w:pPr>
        <w:autoSpaceDE w:val="0"/>
        <w:autoSpaceDN w:val="0"/>
        <w:adjustRightInd w:val="0"/>
        <w:spacing w:line="500" w:lineRule="exact"/>
        <w:ind w:firstLine="640" w:firstLineChars="200"/>
        <w:rPr>
          <w:rFonts w:hint="eastAsia" w:ascii="仿宋_GB2312" w:eastAsia="仿宋_GB2312"/>
          <w:color w:val="000000"/>
          <w:sz w:val="32"/>
          <w:szCs w:val="32"/>
        </w:rPr>
      </w:pPr>
      <w:r>
        <w:rPr>
          <w:rFonts w:hint="eastAsia" w:ascii="仿宋_GB2312" w:eastAsia="仿宋_GB2312"/>
          <w:sz w:val="32"/>
          <w:szCs w:val="32"/>
        </w:rPr>
        <w:t>（刑期从判决执行之日起计算，判决执行以前先行羁押的，羁押一日折抵刑期一日，即自</w:t>
      </w:r>
      <w:r>
        <w:rPr>
          <w:rFonts w:hint="eastAsia" w:ascii="仿宋_GB2312" w:eastAsia="仿宋_GB2312"/>
          <w:color w:val="000000"/>
          <w:sz w:val="32"/>
          <w:szCs w:val="32"/>
        </w:rPr>
        <w:t>2014年2月23日起至2018年2月22日止）</w:t>
      </w:r>
    </w:p>
    <w:p>
      <w:pPr>
        <w:autoSpaceDE w:val="0"/>
        <w:autoSpaceDN w:val="0"/>
        <w:adjustRightInd w:val="0"/>
        <w:spacing w:line="500" w:lineRule="exact"/>
        <w:ind w:firstLine="640" w:firstLineChars="200"/>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本判决为终审判决。</w:t>
      </w:r>
    </w:p>
    <w:p>
      <w:pPr>
        <w:autoSpaceDE w:val="0"/>
        <w:autoSpaceDN w:val="0"/>
        <w:adjustRightInd w:val="0"/>
        <w:spacing w:line="500" w:lineRule="exact"/>
        <w:ind w:firstLine="640" w:firstLineChars="200"/>
        <w:rPr>
          <w:rFonts w:hint="eastAsia" w:ascii="仿宋_GB2312" w:hAnsi="宋体" w:eastAsia="仿宋_GB2312" w:cs="宋体"/>
          <w:kern w:val="0"/>
          <w:sz w:val="32"/>
          <w:szCs w:val="32"/>
          <w:lang w:val="zh-CN"/>
        </w:rPr>
      </w:pPr>
    </w:p>
    <w:p>
      <w:pPr>
        <w:spacing w:line="500" w:lineRule="exact"/>
        <w:ind w:firstLine="640" w:firstLineChars="200"/>
        <w:jc w:val="right"/>
        <w:rPr>
          <w:rFonts w:hint="eastAsia" w:ascii="仿宋_GB2312" w:eastAsia="仿宋_GB2312"/>
          <w:color w:val="000000"/>
          <w:sz w:val="32"/>
          <w:szCs w:val="32"/>
        </w:rPr>
      </w:pPr>
      <w:r>
        <w:rPr>
          <w:rFonts w:hint="eastAsia" w:ascii="仿宋_GB2312" w:eastAsia="仿宋_GB2312"/>
          <w:color w:val="000000"/>
          <w:sz w:val="32"/>
          <w:szCs w:val="32"/>
        </w:rPr>
        <w:t>审  判  长  丁秉花</w:t>
      </w:r>
    </w:p>
    <w:p>
      <w:pPr>
        <w:spacing w:line="500" w:lineRule="exact"/>
        <w:ind w:firstLine="640" w:firstLineChars="200"/>
        <w:jc w:val="right"/>
        <w:rPr>
          <w:rFonts w:hint="eastAsia" w:ascii="仿宋_GB2312" w:eastAsia="仿宋_GB2312"/>
          <w:color w:val="000000"/>
          <w:sz w:val="32"/>
          <w:szCs w:val="32"/>
        </w:rPr>
      </w:pPr>
      <w:r>
        <w:rPr>
          <w:rFonts w:hint="eastAsia" w:ascii="仿宋_GB2312" w:eastAsia="仿宋_GB2312"/>
          <w:color w:val="000000"/>
          <w:sz w:val="32"/>
          <w:szCs w:val="32"/>
        </w:rPr>
        <w:t>代理审判员  张玉军</w:t>
      </w:r>
    </w:p>
    <w:p>
      <w:pPr>
        <w:spacing w:line="500" w:lineRule="exact"/>
        <w:ind w:firstLine="640" w:firstLineChars="200"/>
        <w:jc w:val="right"/>
        <w:rPr>
          <w:rFonts w:hint="eastAsia" w:ascii="仿宋_GB2312" w:eastAsia="仿宋_GB2312"/>
          <w:color w:val="000000"/>
          <w:sz w:val="32"/>
          <w:szCs w:val="32"/>
        </w:rPr>
      </w:pPr>
      <w:r>
        <w:rPr>
          <w:rFonts w:hint="eastAsia" w:ascii="仿宋_GB2312" w:eastAsia="仿宋_GB2312"/>
          <w:color w:val="000000"/>
          <w:sz w:val="32"/>
          <w:szCs w:val="32"/>
        </w:rPr>
        <w:t>代理审判员  张  帆</w:t>
      </w:r>
    </w:p>
    <w:p>
      <w:pPr>
        <w:spacing w:line="500" w:lineRule="exact"/>
        <w:ind w:firstLine="640" w:firstLineChars="200"/>
        <w:jc w:val="right"/>
        <w:rPr>
          <w:rFonts w:hint="eastAsia" w:ascii="仿宋_GB2312" w:eastAsia="仿宋_GB2312"/>
          <w:color w:val="000000"/>
          <w:sz w:val="32"/>
          <w:szCs w:val="32"/>
        </w:rPr>
      </w:pPr>
    </w:p>
    <w:p>
      <w:pPr>
        <w:spacing w:line="500" w:lineRule="exact"/>
        <w:ind w:firstLine="640" w:firstLineChars="200"/>
        <w:jc w:val="right"/>
        <w:rPr>
          <w:rFonts w:hint="eastAsia" w:ascii="仿宋_GB2312" w:eastAsia="仿宋_GB2312"/>
          <w:color w:val="000000"/>
          <w:sz w:val="32"/>
          <w:szCs w:val="32"/>
        </w:rPr>
      </w:pPr>
      <w:r>
        <w:rPr>
          <w:rFonts w:hint="eastAsia" w:ascii="仿宋_GB2312" w:eastAsia="仿宋_GB2312"/>
          <w:color w:val="000000"/>
          <w:sz w:val="32"/>
          <w:szCs w:val="32"/>
        </w:rPr>
        <w:t>二</w:t>
      </w:r>
      <w:r>
        <w:rPr>
          <w:rFonts w:hint="eastAsia" w:ascii="仿宋_GB2312" w:hAnsi="宋体" w:cs="宋体"/>
          <w:color w:val="000000"/>
          <w:sz w:val="32"/>
          <w:szCs w:val="32"/>
        </w:rPr>
        <w:t>〇</w:t>
      </w:r>
      <w:r>
        <w:rPr>
          <w:rFonts w:hint="eastAsia" w:ascii="仿宋_GB2312" w:hAnsi="仿宋_GB2312" w:eastAsia="仿宋_GB2312" w:cs="仿宋_GB2312"/>
          <w:color w:val="000000"/>
          <w:sz w:val="32"/>
          <w:szCs w:val="32"/>
        </w:rPr>
        <w:t>一四年七月十</w:t>
      </w:r>
      <w:r>
        <w:rPr>
          <w:rFonts w:hint="eastAsia" w:ascii="仿宋_GB2312" w:eastAsia="仿宋_GB2312"/>
          <w:color w:val="000000"/>
          <w:sz w:val="32"/>
          <w:szCs w:val="32"/>
        </w:rPr>
        <w:t>日</w:t>
      </w:r>
    </w:p>
    <w:p>
      <w:pPr>
        <w:spacing w:line="500" w:lineRule="exact"/>
        <w:ind w:firstLine="640" w:firstLineChars="200"/>
        <w:jc w:val="right"/>
        <w:rPr>
          <w:rFonts w:hint="eastAsia" w:ascii="仿宋_GB2312" w:eastAsia="仿宋_GB2312"/>
          <w:color w:val="000000"/>
          <w:sz w:val="32"/>
          <w:szCs w:val="32"/>
        </w:rPr>
      </w:pPr>
    </w:p>
    <w:p>
      <w:pPr>
        <w:spacing w:line="500" w:lineRule="exact"/>
        <w:ind w:firstLine="640" w:firstLineChars="200"/>
        <w:jc w:val="right"/>
        <w:rPr>
          <w:rFonts w:hint="eastAsia" w:ascii="仿宋_GB2312" w:eastAsia="仿宋_GB2312"/>
          <w:color w:val="000000"/>
          <w:sz w:val="32"/>
          <w:szCs w:val="32"/>
        </w:rPr>
      </w:pPr>
      <w:r>
        <w:rPr>
          <w:rFonts w:hint="eastAsia" w:ascii="仿宋_GB2312" w:eastAsia="仿宋_GB2312"/>
          <w:color w:val="000000"/>
          <w:sz w:val="32"/>
          <w:szCs w:val="32"/>
        </w:rPr>
        <w:t>书  记  员  仝伟奇</w:t>
      </w:r>
    </w:p>
    <w:p>
      <w:pPr>
        <w:tabs>
          <w:tab w:val="left" w:pos="8640"/>
        </w:tabs>
        <w:spacing w:line="500" w:lineRule="exact"/>
        <w:ind w:right="-180" w:firstLine="5920" w:firstLineChars="1850"/>
        <w:rPr>
          <w:rFonts w:hint="eastAsia" w:ascii="仿宋_GB2312" w:eastAsia="仿宋_GB2312"/>
          <w:color w:val="000000"/>
          <w:sz w:val="32"/>
          <w:szCs w:val="32"/>
        </w:rPr>
      </w:pPr>
      <w:r>
        <w:rPr>
          <w:rFonts w:hint="eastAsia" w:ascii="仿宋_GB2312" w:eastAsia="仿宋_GB2312"/>
          <w:color w:val="000000"/>
          <w:sz w:val="32"/>
          <w:szCs w:val="32"/>
        </w:rPr>
        <w:t>速  录  员  回桂月</w:t>
      </w:r>
    </w:p>
    <w:sectPr>
      <w:footerReference r:id="rId3" w:type="default"/>
      <w:footerReference r:id="rId4" w:type="even"/>
      <w:pgSz w:w="11907" w:h="16840"/>
      <w:pgMar w:top="1701" w:right="1418" w:bottom="1701" w:left="1701" w:header="0" w:footer="136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0DFB"/>
    <w:rsid w:val="00012A7D"/>
    <w:rsid w:val="000148BA"/>
    <w:rsid w:val="00017C3E"/>
    <w:rsid w:val="000232A6"/>
    <w:rsid w:val="000319AE"/>
    <w:rsid w:val="000329D5"/>
    <w:rsid w:val="00035EDE"/>
    <w:rsid w:val="00036A00"/>
    <w:rsid w:val="0006537F"/>
    <w:rsid w:val="00065FB9"/>
    <w:rsid w:val="00072002"/>
    <w:rsid w:val="00093A4C"/>
    <w:rsid w:val="000A0733"/>
    <w:rsid w:val="000C3280"/>
    <w:rsid w:val="000D0C27"/>
    <w:rsid w:val="000D11AA"/>
    <w:rsid w:val="000D2A3B"/>
    <w:rsid w:val="000D3AF9"/>
    <w:rsid w:val="000D6152"/>
    <w:rsid w:val="000E7897"/>
    <w:rsid w:val="000F5BCA"/>
    <w:rsid w:val="00103C62"/>
    <w:rsid w:val="001059B8"/>
    <w:rsid w:val="00113B2F"/>
    <w:rsid w:val="00114B10"/>
    <w:rsid w:val="00116461"/>
    <w:rsid w:val="00117B12"/>
    <w:rsid w:val="00126851"/>
    <w:rsid w:val="0013151C"/>
    <w:rsid w:val="0013184A"/>
    <w:rsid w:val="00141166"/>
    <w:rsid w:val="001412EE"/>
    <w:rsid w:val="0015048B"/>
    <w:rsid w:val="0017478B"/>
    <w:rsid w:val="001810CF"/>
    <w:rsid w:val="0018248C"/>
    <w:rsid w:val="00185AAF"/>
    <w:rsid w:val="00186A08"/>
    <w:rsid w:val="00194413"/>
    <w:rsid w:val="00197BD2"/>
    <w:rsid w:val="001D2345"/>
    <w:rsid w:val="001D4EA3"/>
    <w:rsid w:val="001F32EC"/>
    <w:rsid w:val="00201829"/>
    <w:rsid w:val="00210091"/>
    <w:rsid w:val="00217153"/>
    <w:rsid w:val="0022007A"/>
    <w:rsid w:val="00251CDD"/>
    <w:rsid w:val="00262545"/>
    <w:rsid w:val="00267FDE"/>
    <w:rsid w:val="00270D41"/>
    <w:rsid w:val="00276351"/>
    <w:rsid w:val="00281E3B"/>
    <w:rsid w:val="00287C0E"/>
    <w:rsid w:val="002A225F"/>
    <w:rsid w:val="002B6C4A"/>
    <w:rsid w:val="002B7220"/>
    <w:rsid w:val="002C42BE"/>
    <w:rsid w:val="002D15F0"/>
    <w:rsid w:val="003000A2"/>
    <w:rsid w:val="00310CB8"/>
    <w:rsid w:val="0031547C"/>
    <w:rsid w:val="003222DA"/>
    <w:rsid w:val="00322CDD"/>
    <w:rsid w:val="003319DA"/>
    <w:rsid w:val="00343E75"/>
    <w:rsid w:val="00357077"/>
    <w:rsid w:val="003727F5"/>
    <w:rsid w:val="00393725"/>
    <w:rsid w:val="003943C7"/>
    <w:rsid w:val="003A1DC8"/>
    <w:rsid w:val="003A2596"/>
    <w:rsid w:val="003A2E54"/>
    <w:rsid w:val="003A431C"/>
    <w:rsid w:val="003A5195"/>
    <w:rsid w:val="003B538C"/>
    <w:rsid w:val="003B7CD1"/>
    <w:rsid w:val="003C1330"/>
    <w:rsid w:val="003C65EF"/>
    <w:rsid w:val="003C7706"/>
    <w:rsid w:val="003D4C16"/>
    <w:rsid w:val="003E0C25"/>
    <w:rsid w:val="003E6020"/>
    <w:rsid w:val="00400B9D"/>
    <w:rsid w:val="004029D0"/>
    <w:rsid w:val="00404524"/>
    <w:rsid w:val="004074E4"/>
    <w:rsid w:val="00407DAC"/>
    <w:rsid w:val="00420F87"/>
    <w:rsid w:val="004316AC"/>
    <w:rsid w:val="004332DF"/>
    <w:rsid w:val="004366FA"/>
    <w:rsid w:val="00447B85"/>
    <w:rsid w:val="00452BDC"/>
    <w:rsid w:val="004537A6"/>
    <w:rsid w:val="004605CF"/>
    <w:rsid w:val="00466D89"/>
    <w:rsid w:val="00472617"/>
    <w:rsid w:val="004740FB"/>
    <w:rsid w:val="004742A0"/>
    <w:rsid w:val="004768D7"/>
    <w:rsid w:val="00476FD3"/>
    <w:rsid w:val="004860B3"/>
    <w:rsid w:val="00490C94"/>
    <w:rsid w:val="00492E56"/>
    <w:rsid w:val="0049583D"/>
    <w:rsid w:val="004B01AA"/>
    <w:rsid w:val="004D2D09"/>
    <w:rsid w:val="004F0453"/>
    <w:rsid w:val="00521F77"/>
    <w:rsid w:val="00522B74"/>
    <w:rsid w:val="00532E48"/>
    <w:rsid w:val="00536593"/>
    <w:rsid w:val="00544389"/>
    <w:rsid w:val="00553A04"/>
    <w:rsid w:val="00563A36"/>
    <w:rsid w:val="005645FF"/>
    <w:rsid w:val="00565746"/>
    <w:rsid w:val="0056661B"/>
    <w:rsid w:val="00567874"/>
    <w:rsid w:val="005763C4"/>
    <w:rsid w:val="00583F09"/>
    <w:rsid w:val="00587D5F"/>
    <w:rsid w:val="005A668D"/>
    <w:rsid w:val="005D1E96"/>
    <w:rsid w:val="005F2A7F"/>
    <w:rsid w:val="00603032"/>
    <w:rsid w:val="00633D0D"/>
    <w:rsid w:val="006413E7"/>
    <w:rsid w:val="006546F6"/>
    <w:rsid w:val="0066395C"/>
    <w:rsid w:val="006712FF"/>
    <w:rsid w:val="00674D84"/>
    <w:rsid w:val="0067794D"/>
    <w:rsid w:val="00691EB0"/>
    <w:rsid w:val="006942F0"/>
    <w:rsid w:val="006A6274"/>
    <w:rsid w:val="006C1766"/>
    <w:rsid w:val="006C3878"/>
    <w:rsid w:val="006C4E49"/>
    <w:rsid w:val="006C5959"/>
    <w:rsid w:val="006D276B"/>
    <w:rsid w:val="006D5755"/>
    <w:rsid w:val="006F126E"/>
    <w:rsid w:val="00717F69"/>
    <w:rsid w:val="007207F8"/>
    <w:rsid w:val="00724417"/>
    <w:rsid w:val="00724EFE"/>
    <w:rsid w:val="00727070"/>
    <w:rsid w:val="00727F9C"/>
    <w:rsid w:val="007307DD"/>
    <w:rsid w:val="0073206C"/>
    <w:rsid w:val="00763DB5"/>
    <w:rsid w:val="007745FA"/>
    <w:rsid w:val="0079210E"/>
    <w:rsid w:val="007965FC"/>
    <w:rsid w:val="00796C2D"/>
    <w:rsid w:val="007A4B93"/>
    <w:rsid w:val="007B01C6"/>
    <w:rsid w:val="007B24DC"/>
    <w:rsid w:val="007D07AE"/>
    <w:rsid w:val="007D6E69"/>
    <w:rsid w:val="007E04F5"/>
    <w:rsid w:val="007E3318"/>
    <w:rsid w:val="007E3EF8"/>
    <w:rsid w:val="007E6AFC"/>
    <w:rsid w:val="007E785F"/>
    <w:rsid w:val="007F08E3"/>
    <w:rsid w:val="007F4FDD"/>
    <w:rsid w:val="007F4FFE"/>
    <w:rsid w:val="007F734B"/>
    <w:rsid w:val="008050FF"/>
    <w:rsid w:val="00816F43"/>
    <w:rsid w:val="008214D3"/>
    <w:rsid w:val="008576F2"/>
    <w:rsid w:val="00874AE9"/>
    <w:rsid w:val="00875FDE"/>
    <w:rsid w:val="008A4D73"/>
    <w:rsid w:val="008D5C02"/>
    <w:rsid w:val="008E6388"/>
    <w:rsid w:val="008F08BB"/>
    <w:rsid w:val="008F4A69"/>
    <w:rsid w:val="008F762B"/>
    <w:rsid w:val="0093016D"/>
    <w:rsid w:val="00931B4D"/>
    <w:rsid w:val="00942885"/>
    <w:rsid w:val="00944172"/>
    <w:rsid w:val="00957FE2"/>
    <w:rsid w:val="00972482"/>
    <w:rsid w:val="00972F04"/>
    <w:rsid w:val="00975B29"/>
    <w:rsid w:val="0098431F"/>
    <w:rsid w:val="00985A12"/>
    <w:rsid w:val="009926CF"/>
    <w:rsid w:val="009B0FB0"/>
    <w:rsid w:val="009B1783"/>
    <w:rsid w:val="009B54EA"/>
    <w:rsid w:val="009C34C3"/>
    <w:rsid w:val="009D7CF5"/>
    <w:rsid w:val="009E668D"/>
    <w:rsid w:val="009E6828"/>
    <w:rsid w:val="009E6EC4"/>
    <w:rsid w:val="009F426F"/>
    <w:rsid w:val="00A14163"/>
    <w:rsid w:val="00A2614D"/>
    <w:rsid w:val="00A266DF"/>
    <w:rsid w:val="00A26C40"/>
    <w:rsid w:val="00A4345E"/>
    <w:rsid w:val="00A44C5C"/>
    <w:rsid w:val="00A47355"/>
    <w:rsid w:val="00A51566"/>
    <w:rsid w:val="00A86E5C"/>
    <w:rsid w:val="00A92704"/>
    <w:rsid w:val="00AD4F11"/>
    <w:rsid w:val="00AE6560"/>
    <w:rsid w:val="00AF038D"/>
    <w:rsid w:val="00AF5CFE"/>
    <w:rsid w:val="00B014B6"/>
    <w:rsid w:val="00B02939"/>
    <w:rsid w:val="00B0316E"/>
    <w:rsid w:val="00B0531E"/>
    <w:rsid w:val="00B34FE2"/>
    <w:rsid w:val="00B422C4"/>
    <w:rsid w:val="00B50853"/>
    <w:rsid w:val="00B74412"/>
    <w:rsid w:val="00B95654"/>
    <w:rsid w:val="00BA571F"/>
    <w:rsid w:val="00BA6FC0"/>
    <w:rsid w:val="00BB62AD"/>
    <w:rsid w:val="00BC1973"/>
    <w:rsid w:val="00BC1A92"/>
    <w:rsid w:val="00BF0CF1"/>
    <w:rsid w:val="00BF48A4"/>
    <w:rsid w:val="00BF62BD"/>
    <w:rsid w:val="00C0594F"/>
    <w:rsid w:val="00C07108"/>
    <w:rsid w:val="00C2215C"/>
    <w:rsid w:val="00C375EA"/>
    <w:rsid w:val="00C47ADD"/>
    <w:rsid w:val="00C6260E"/>
    <w:rsid w:val="00C80DFB"/>
    <w:rsid w:val="00C83195"/>
    <w:rsid w:val="00C8756B"/>
    <w:rsid w:val="00C90B01"/>
    <w:rsid w:val="00C97E56"/>
    <w:rsid w:val="00CA0A6C"/>
    <w:rsid w:val="00CA1163"/>
    <w:rsid w:val="00CA73A9"/>
    <w:rsid w:val="00CC4A94"/>
    <w:rsid w:val="00CC7DDA"/>
    <w:rsid w:val="00CE23F8"/>
    <w:rsid w:val="00CE7030"/>
    <w:rsid w:val="00CF0697"/>
    <w:rsid w:val="00CF1C2C"/>
    <w:rsid w:val="00CF3872"/>
    <w:rsid w:val="00CF5795"/>
    <w:rsid w:val="00CF5B51"/>
    <w:rsid w:val="00CF74E6"/>
    <w:rsid w:val="00D01FBA"/>
    <w:rsid w:val="00D05F8B"/>
    <w:rsid w:val="00D1572D"/>
    <w:rsid w:val="00D15CE7"/>
    <w:rsid w:val="00D22A7D"/>
    <w:rsid w:val="00D3624F"/>
    <w:rsid w:val="00D3733F"/>
    <w:rsid w:val="00D45085"/>
    <w:rsid w:val="00D4618B"/>
    <w:rsid w:val="00D61F12"/>
    <w:rsid w:val="00D72A0D"/>
    <w:rsid w:val="00D76564"/>
    <w:rsid w:val="00D85013"/>
    <w:rsid w:val="00D90735"/>
    <w:rsid w:val="00D91776"/>
    <w:rsid w:val="00D924D9"/>
    <w:rsid w:val="00D941C0"/>
    <w:rsid w:val="00D97952"/>
    <w:rsid w:val="00DA1E07"/>
    <w:rsid w:val="00DA7F80"/>
    <w:rsid w:val="00DB3AD7"/>
    <w:rsid w:val="00DB5B7F"/>
    <w:rsid w:val="00DC3765"/>
    <w:rsid w:val="00DC41D6"/>
    <w:rsid w:val="00DC6C56"/>
    <w:rsid w:val="00DE2AF0"/>
    <w:rsid w:val="00DF3703"/>
    <w:rsid w:val="00DF374F"/>
    <w:rsid w:val="00E00C4F"/>
    <w:rsid w:val="00E0134D"/>
    <w:rsid w:val="00E02E06"/>
    <w:rsid w:val="00E12D2C"/>
    <w:rsid w:val="00E1351C"/>
    <w:rsid w:val="00E1783E"/>
    <w:rsid w:val="00E26396"/>
    <w:rsid w:val="00E42CE9"/>
    <w:rsid w:val="00E45EDD"/>
    <w:rsid w:val="00E50FAA"/>
    <w:rsid w:val="00E55437"/>
    <w:rsid w:val="00E55F37"/>
    <w:rsid w:val="00E736F4"/>
    <w:rsid w:val="00E76E21"/>
    <w:rsid w:val="00E81040"/>
    <w:rsid w:val="00E82A3C"/>
    <w:rsid w:val="00EC4850"/>
    <w:rsid w:val="00ED0F18"/>
    <w:rsid w:val="00EF7D28"/>
    <w:rsid w:val="00F03849"/>
    <w:rsid w:val="00F1257F"/>
    <w:rsid w:val="00F15737"/>
    <w:rsid w:val="00F161D0"/>
    <w:rsid w:val="00F16968"/>
    <w:rsid w:val="00F23375"/>
    <w:rsid w:val="00F4097A"/>
    <w:rsid w:val="00F4700D"/>
    <w:rsid w:val="00F52444"/>
    <w:rsid w:val="00F533AD"/>
    <w:rsid w:val="00F54C08"/>
    <w:rsid w:val="00F56F24"/>
    <w:rsid w:val="00F6508B"/>
    <w:rsid w:val="00F66895"/>
    <w:rsid w:val="00F77027"/>
    <w:rsid w:val="00F87E71"/>
    <w:rsid w:val="00F943BE"/>
    <w:rsid w:val="00FA3406"/>
    <w:rsid w:val="00FA3475"/>
    <w:rsid w:val="00FA3D4E"/>
    <w:rsid w:val="00FC0B5B"/>
    <w:rsid w:val="00FD724F"/>
    <w:rsid w:val="00FD79CE"/>
    <w:rsid w:val="08973FBC"/>
    <w:rsid w:val="4FE30459"/>
    <w:rsid w:val="6D431BC9"/>
    <w:rsid w:val="721842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footer"/>
    <w:basedOn w:val="1"/>
    <w:uiPriority w:val="0"/>
    <w:pPr>
      <w:tabs>
        <w:tab w:val="center" w:pos="4153"/>
        <w:tab w:val="right" w:pos="8306"/>
      </w:tabs>
      <w:snapToGrid w:val="0"/>
      <w:jc w:val="left"/>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uiPriority w:val="0"/>
  </w:style>
  <w:style w:type="character" w:styleId="7">
    <w:name w:val="Hyperlink"/>
    <w:basedOn w:val="4"/>
    <w:qFormat/>
    <w:uiPriority w:val="0"/>
    <w:rPr>
      <w:rFonts w:hint="default" w:ascii="ˎ̥" w:hAnsi="ˎ̥"/>
      <w:color w:val="0453CC"/>
      <w:sz w:val="14"/>
      <w:szCs w:val="14"/>
      <w:u w:val="non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ezf</Company>
  <Pages>1</Pages>
  <Words>536</Words>
  <Characters>3058</Characters>
  <Lines>25</Lines>
  <Paragraphs>7</Paragraphs>
  <TotalTime>0</TotalTime>
  <ScaleCrop>false</ScaleCrop>
  <LinksUpToDate>false</LinksUpToDate>
  <CharactersWithSpaces>3587</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2014-05-27T09:11:00Z</dcterms:created>
  <dc:creator>user</dc:creator>
  <cp:lastModifiedBy>TF-PC</cp:lastModifiedBy>
  <cp:lastPrinted>2014-07-07T09:30:00Z</cp:lastPrinted>
  <dcterms:modified xsi:type="dcterms:W3CDTF">2018-08-27T09:40:22Z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