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E w:val="0"/>
        <w:autoSpaceDN w:val="0"/>
        <w:adjustRightInd w:val="0"/>
        <w:spacing w:beforeLines="0" w:afterLines="0" w:line="336" w:lineRule="auto"/>
        <w:rPr>
          <w:rFonts w:hint="default" w:ascii="黑体" w:hAnsi="MS Sans Serif" w:eastAsia="黑体"/>
          <w:kern w:val="0"/>
          <w:sz w:val="48"/>
        </w:rPr>
      </w:pPr>
      <w:bookmarkStart w:id="0" w:name="_GoBack"/>
      <w:bookmarkEnd w:id="0"/>
    </w:p>
    <w:p>
      <w:pPr>
        <w:autoSpaceDE w:val="0"/>
        <w:autoSpaceDN w:val="0"/>
        <w:adjustRightInd w:val="0"/>
        <w:spacing w:beforeLines="0" w:afterLines="0" w:line="520" w:lineRule="exact"/>
        <w:jc w:val="center"/>
        <w:rPr>
          <w:rFonts w:hint="default" w:ascii="宋体"/>
          <w:b/>
          <w:kern w:val="0"/>
          <w:sz w:val="44"/>
        </w:rPr>
      </w:pPr>
      <w:r>
        <w:rPr>
          <w:rFonts w:hint="eastAsia" w:ascii="宋体" w:hAnsi="宋体"/>
          <w:b/>
          <w:kern w:val="0"/>
          <w:sz w:val="44"/>
        </w:rPr>
        <w:t>天津市河北区人民法院</w:t>
      </w:r>
    </w:p>
    <w:p>
      <w:pPr>
        <w:autoSpaceDE w:val="0"/>
        <w:autoSpaceDN w:val="0"/>
        <w:adjustRightInd w:val="0"/>
        <w:spacing w:beforeLines="0" w:afterLines="0" w:line="520" w:lineRule="exact"/>
        <w:jc w:val="center"/>
        <w:rPr>
          <w:rFonts w:hint="default" w:ascii="宋体"/>
          <w:b/>
          <w:kern w:val="0"/>
          <w:sz w:val="44"/>
        </w:rPr>
      </w:pPr>
    </w:p>
    <w:p>
      <w:pPr>
        <w:autoSpaceDE w:val="0"/>
        <w:autoSpaceDN w:val="0"/>
        <w:adjustRightInd w:val="0"/>
        <w:spacing w:beforeLines="0" w:afterLines="0" w:line="520" w:lineRule="exact"/>
        <w:jc w:val="center"/>
        <w:rPr>
          <w:rFonts w:hint="default" w:ascii="宋体"/>
          <w:b/>
          <w:kern w:val="0"/>
          <w:sz w:val="52"/>
        </w:rPr>
      </w:pPr>
      <w:r>
        <w:rPr>
          <w:rFonts w:hint="eastAsia" w:ascii="宋体" w:hAnsi="宋体"/>
          <w:b/>
          <w:kern w:val="0"/>
          <w:sz w:val="52"/>
        </w:rPr>
        <w:t>刑事判决书</w:t>
      </w:r>
    </w:p>
    <w:p>
      <w:pPr>
        <w:autoSpaceDE w:val="0"/>
        <w:autoSpaceDN w:val="0"/>
        <w:adjustRightInd w:val="0"/>
        <w:spacing w:beforeLines="0" w:afterLines="0" w:line="520" w:lineRule="exact"/>
        <w:jc w:val="center"/>
        <w:rPr>
          <w:rFonts w:hint="default" w:ascii="宋体"/>
          <w:b/>
          <w:kern w:val="0"/>
          <w:sz w:val="32"/>
        </w:rPr>
      </w:pPr>
    </w:p>
    <w:p>
      <w:pPr>
        <w:autoSpaceDE w:val="0"/>
        <w:autoSpaceDN w:val="0"/>
        <w:adjustRightInd w:val="0"/>
        <w:spacing w:beforeLines="0" w:afterLines="0" w:line="520" w:lineRule="exact"/>
        <w:jc w:val="right"/>
        <w:rPr>
          <w:rFonts w:hint="default" w:ascii="仿宋_GB2312" w:hAnsi="MS Sans Serif" w:eastAsia="仿宋_GB2312"/>
          <w:kern w:val="0"/>
          <w:sz w:val="32"/>
        </w:rPr>
      </w:pPr>
      <w:r>
        <w:rPr>
          <w:rFonts w:hint="eastAsia" w:ascii="仿宋_GB2312" w:hAnsi="MS Sans Serif" w:eastAsia="仿宋_GB2312"/>
          <w:kern w:val="0"/>
          <w:sz w:val="32"/>
        </w:rPr>
        <w:t>(2014)北刑初字第119号</w:t>
      </w:r>
    </w:p>
    <w:p>
      <w:pPr>
        <w:autoSpaceDE w:val="0"/>
        <w:autoSpaceDN w:val="0"/>
        <w:adjustRightInd w:val="0"/>
        <w:spacing w:beforeLines="0" w:afterLines="0" w:line="520" w:lineRule="exact"/>
        <w:jc w:val="right"/>
        <w:rPr>
          <w:rFonts w:hint="default" w:ascii="仿宋_GB2312" w:hAnsi="MS Sans Serif" w:eastAsia="仿宋_GB2312"/>
          <w:kern w:val="0"/>
          <w:sz w:val="32"/>
        </w:rPr>
      </w:pPr>
    </w:p>
    <w:p>
      <w:pPr>
        <w:autoSpaceDE w:val="0"/>
        <w:autoSpaceDN w:val="0"/>
        <w:adjustRightInd w:val="0"/>
        <w:spacing w:beforeLines="0" w:afterLines="0" w:line="52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公诉机关天津市河北区人民检察院。</w:t>
      </w:r>
    </w:p>
    <w:p>
      <w:pPr>
        <w:autoSpaceDE w:val="0"/>
        <w:autoSpaceDN w:val="0"/>
        <w:adjustRightInd w:val="0"/>
        <w:spacing w:beforeLines="0" w:afterLines="0" w:line="520" w:lineRule="exact"/>
        <w:ind w:firstLine="645"/>
        <w:rPr>
          <w:rFonts w:hint="default" w:ascii="仿宋_GB2312" w:hAnsi="MS Sans Serif" w:eastAsia="仿宋_GB2312"/>
          <w:kern w:val="0"/>
          <w:sz w:val="32"/>
        </w:rPr>
      </w:pPr>
      <w:r>
        <w:rPr>
          <w:rFonts w:hint="eastAsia" w:ascii="仿宋_GB2312" w:hAnsi="MS Sans Serif" w:eastAsia="仿宋_GB2312"/>
          <w:kern w:val="0"/>
          <w:sz w:val="32"/>
        </w:rPr>
        <w:t>被告人常莹，女，1983年8月11日出生于天津市，公民身份证号码：12010519830811214X，汉族，中专文化，无职业，住天津市河北区辰纬路辰曲里7门407号。因本案于2013年12月11日被天津市公安局河北分局取保候审，现在居住地取保候审。</w:t>
      </w:r>
    </w:p>
    <w:p>
      <w:pPr>
        <w:autoSpaceDE w:val="0"/>
        <w:autoSpaceDN w:val="0"/>
        <w:adjustRightInd w:val="0"/>
        <w:spacing w:beforeLines="0" w:afterLines="0" w:line="520" w:lineRule="exact"/>
        <w:ind w:firstLine="645"/>
        <w:rPr>
          <w:rFonts w:hint="default" w:ascii="仿宋_GB2312" w:hAnsi="MS Sans Serif" w:eastAsia="仿宋_GB2312"/>
          <w:kern w:val="0"/>
          <w:sz w:val="32"/>
        </w:rPr>
      </w:pPr>
      <w:r>
        <w:rPr>
          <w:rFonts w:hint="eastAsia" w:ascii="仿宋_GB2312" w:hAnsi="MS Sans Serif" w:eastAsia="仿宋_GB2312"/>
          <w:kern w:val="0"/>
          <w:sz w:val="32"/>
        </w:rPr>
        <w:t>天津市河北区人民检察院以津北检刑诉[2014]69号起诉书指控被告人常莹犯信用卡诈骗罪，于2014年4月18日向本院提起公诉。本院依法适用简易程序，实行独任审判，公开开庭审理了本案。天津市河北区人民检察院指派检察员尔虹霞、代理检察员邢晓颖出庭支持公诉，被告人常莹到庭参加诉讼。现已审理终结。</w:t>
      </w:r>
    </w:p>
    <w:p>
      <w:pPr>
        <w:autoSpaceDE w:val="0"/>
        <w:autoSpaceDN w:val="0"/>
        <w:adjustRightInd w:val="0"/>
        <w:spacing w:beforeLines="0" w:afterLines="0" w:line="52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天津市河北区人民检察院指控，被告人常莹于2010年9月激活卡号为6222531210291566的交通银行信用卡一张，开卡后正常消费使用。2011年9月后，常莹明知自己没有还款能力仍持该卡在本市河北区世纪联华中山路店等地多次透支消费。2012年1月开始，经交通银行工作人员催缴，常莹于2012年2月12日还款人民币1500元。后经发卡银行工作人员多次催缴，再无还款。截止至2013年9月24日，该信用卡欠款共计人民币37756.53元，其中本金人民币26947.98元、利息人民币9566.20元、费用人民币1242.35元。</w:t>
      </w:r>
    </w:p>
    <w:p>
      <w:pPr>
        <w:autoSpaceDE w:val="0"/>
        <w:autoSpaceDN w:val="0"/>
        <w:adjustRightInd w:val="0"/>
        <w:spacing w:beforeLines="0" w:afterLines="0" w:line="52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经被害单位报案，公安机关遂对该案展开调查，被告人常莹于2013年12月11日到公安机关投案并如实供述了上述事实。</w:t>
      </w:r>
    </w:p>
    <w:p>
      <w:pPr>
        <w:autoSpaceDE w:val="0"/>
        <w:autoSpaceDN w:val="0"/>
        <w:adjustRightInd w:val="0"/>
        <w:spacing w:beforeLines="0" w:afterLines="0" w:line="52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案发后，被告人常莹偿还了被害单位的损失共计人民币41193元。</w:t>
      </w:r>
    </w:p>
    <w:p>
      <w:pPr>
        <w:autoSpaceDE w:val="0"/>
        <w:autoSpaceDN w:val="0"/>
        <w:adjustRightInd w:val="0"/>
        <w:spacing w:beforeLines="0" w:afterLines="0" w:line="52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上述事实，被告人常莹在开庭审理过程中亦无异议，并有证人张益涛证言，交通银行太平洋信用卡中心报案书，被告人常莹申请办理信用卡的手续，身份证复印件，虚假工作证明，信用卡复印件及消费明细，交通银行太平洋信用卡中心催收记录，公安机关案件来源、到案经过，户籍证明以及交通银行个人（存款）回单等证据证实，足以认定。</w:t>
      </w:r>
    </w:p>
    <w:p>
      <w:pPr>
        <w:autoSpaceDE w:val="0"/>
        <w:autoSpaceDN w:val="0"/>
        <w:adjustRightInd w:val="0"/>
        <w:spacing w:beforeLines="0" w:afterLines="0" w:line="52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本院认为，被告人常莹以非法占有为目的，妨害信用卡管理秩序，使用信用卡超过规定期限恶意透支，数额较大，经发卡银行多次催收后超过三个月仍不归还，其行为已构成信用卡诈骗罪，公诉机关指控被告人常莹犯信用卡诈骗罪的罪名成立，应定罪科刑。被告人常莹犯罪后自动投案，如实供述自己的罪行，是自首，可以从轻处罚。被告人常莹在案发后偿还了全部款息，且当庭能够如实供述犯罪事实，认罪态度较好，有悔罪表现，可以酌情从轻处罚。据此，依照《中华人民共和国刑法》第一百九十六条第一款第（四）项、第二款，第六十七条第一款，第七十二条第一款，第七十三条第二款、第三款之规定，判决如下：</w:t>
      </w:r>
    </w:p>
    <w:p>
      <w:pPr>
        <w:autoSpaceDE w:val="0"/>
        <w:autoSpaceDN w:val="0"/>
        <w:adjustRightInd w:val="0"/>
        <w:spacing w:beforeLines="0" w:afterLines="0" w:line="52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被告人常莹犯信用卡诈骗罪，判处有期徒刑一年，缓刑一年，并处罚金人民币20000元。</w:t>
      </w:r>
    </w:p>
    <w:p>
      <w:pPr>
        <w:autoSpaceDE w:val="0"/>
        <w:autoSpaceDN w:val="0"/>
        <w:adjustRightInd w:val="0"/>
        <w:spacing w:beforeLines="0" w:afterLines="0" w:line="520" w:lineRule="exact"/>
        <w:ind w:firstLine="640" w:firstLineChars="200"/>
        <w:rPr>
          <w:rFonts w:hint="eastAsia" w:ascii="仿宋_GB2312" w:hAnsi="MS Sans Serif" w:eastAsia="仿宋_GB2312"/>
          <w:kern w:val="0"/>
          <w:sz w:val="32"/>
        </w:rPr>
      </w:pPr>
      <w:r>
        <w:rPr>
          <w:rFonts w:hint="eastAsia" w:ascii="仿宋_GB2312" w:hAnsi="MS Sans Serif" w:eastAsia="仿宋_GB2312"/>
          <w:kern w:val="0"/>
          <w:sz w:val="32"/>
        </w:rPr>
        <w:t>(缓刑考验期限，从判决确定之日起计算。罚金自判决生效后即付清。)</w:t>
      </w:r>
    </w:p>
    <w:p>
      <w:pPr>
        <w:autoSpaceDE w:val="0"/>
        <w:autoSpaceDN w:val="0"/>
        <w:adjustRightInd w:val="0"/>
        <w:spacing w:beforeLines="0" w:afterLines="0" w:line="52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如不服本判决，可在接到本判决书的第二日起十日内，通过本院或者直接向天津市第一中级人民法院提出上诉。书面上诉的，应提交上诉状正本一份，副本二份。</w:t>
      </w:r>
    </w:p>
    <w:p>
      <w:pPr>
        <w:autoSpaceDE w:val="0"/>
        <w:autoSpaceDN w:val="0"/>
        <w:adjustRightInd w:val="0"/>
        <w:spacing w:beforeLines="0" w:afterLines="0" w:line="52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 xml:space="preserve">                             </w:t>
      </w:r>
    </w:p>
    <w:p>
      <w:pPr>
        <w:autoSpaceDE w:val="0"/>
        <w:autoSpaceDN w:val="0"/>
        <w:adjustRightInd w:val="0"/>
        <w:spacing w:beforeLines="0" w:afterLines="0" w:line="520" w:lineRule="exact"/>
        <w:ind w:firstLine="640" w:firstLineChars="200"/>
        <w:rPr>
          <w:rFonts w:hint="default" w:ascii="仿宋_GB2312" w:hAnsi="MS Sans Serif" w:eastAsia="仿宋_GB2312"/>
          <w:kern w:val="0"/>
          <w:sz w:val="32"/>
        </w:rPr>
      </w:pPr>
    </w:p>
    <w:p>
      <w:pPr>
        <w:autoSpaceDE w:val="0"/>
        <w:autoSpaceDN w:val="0"/>
        <w:adjustRightInd w:val="0"/>
        <w:spacing w:beforeLines="0" w:afterLines="0" w:line="520" w:lineRule="exact"/>
        <w:ind w:firstLine="5120" w:firstLineChars="1600"/>
        <w:rPr>
          <w:rFonts w:hint="default" w:ascii="仿宋_GB2312" w:hAnsi="MS Sans Serif" w:eastAsia="仿宋_GB2312"/>
          <w:kern w:val="0"/>
          <w:sz w:val="32"/>
        </w:rPr>
      </w:pPr>
      <w:r>
        <w:rPr>
          <w:rFonts w:hint="eastAsia" w:ascii="仿宋_GB2312" w:hAnsi="MS Sans Serif" w:eastAsia="仿宋_GB2312"/>
          <w:kern w:val="0"/>
          <w:sz w:val="32"/>
        </w:rPr>
        <w:t>审  判  员    李金柱</w:t>
      </w:r>
    </w:p>
    <w:p>
      <w:pPr>
        <w:autoSpaceDE w:val="0"/>
        <w:autoSpaceDN w:val="0"/>
        <w:adjustRightInd w:val="0"/>
        <w:spacing w:beforeLines="0" w:afterLines="0" w:line="520" w:lineRule="exact"/>
        <w:ind w:firstLine="5120" w:firstLineChars="1600"/>
        <w:rPr>
          <w:rFonts w:hint="default" w:ascii="仿宋_GB2312" w:hAnsi="MS Sans Serif" w:eastAsia="仿宋_GB2312"/>
          <w:kern w:val="0"/>
          <w:sz w:val="32"/>
        </w:rPr>
      </w:pPr>
    </w:p>
    <w:p>
      <w:pPr>
        <w:autoSpaceDE w:val="0"/>
        <w:autoSpaceDN w:val="0"/>
        <w:adjustRightInd w:val="0"/>
        <w:spacing w:beforeLines="0" w:afterLines="0" w:line="52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 xml:space="preserve">                           二○一四年四月二十九日</w:t>
      </w:r>
    </w:p>
    <w:p>
      <w:pPr>
        <w:autoSpaceDE w:val="0"/>
        <w:autoSpaceDN w:val="0"/>
        <w:adjustRightInd w:val="0"/>
        <w:spacing w:beforeLines="0" w:afterLines="0" w:line="520" w:lineRule="exact"/>
        <w:ind w:firstLine="640" w:firstLineChars="200"/>
        <w:rPr>
          <w:rFonts w:hint="eastAsia" w:ascii="仿宋_GB2312" w:hAnsi="MS Sans Serif" w:eastAsia="仿宋_GB2312"/>
          <w:kern w:val="0"/>
          <w:sz w:val="32"/>
        </w:rPr>
      </w:pPr>
      <w:r>
        <w:rPr>
          <w:rFonts w:hint="eastAsia" w:ascii="仿宋_GB2312" w:hAnsi="MS Sans Serif" w:eastAsia="仿宋_GB2312"/>
          <w:kern w:val="0"/>
          <w:sz w:val="32"/>
        </w:rPr>
        <w:t xml:space="preserve">  </w:t>
      </w:r>
    </w:p>
    <w:p>
      <w:pPr>
        <w:autoSpaceDE w:val="0"/>
        <w:autoSpaceDN w:val="0"/>
        <w:adjustRightInd w:val="0"/>
        <w:spacing w:beforeLines="0" w:afterLines="0" w:line="52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 xml:space="preserve">                            书  记  员    梁  芳</w:t>
      </w:r>
    </w:p>
    <w:p>
      <w:pPr>
        <w:autoSpaceDE w:val="0"/>
        <w:autoSpaceDN w:val="0"/>
        <w:adjustRightInd w:val="0"/>
        <w:spacing w:beforeLines="0" w:afterLines="0" w:line="520" w:lineRule="exact"/>
        <w:rPr>
          <w:rFonts w:hint="default" w:eastAsia="仿宋_GB2312"/>
          <w:b/>
          <w:sz w:val="32"/>
        </w:rPr>
      </w:pPr>
    </w:p>
    <w:p>
      <w:pPr>
        <w:autoSpaceDE w:val="0"/>
        <w:autoSpaceDN w:val="0"/>
        <w:adjustRightInd w:val="0"/>
        <w:spacing w:beforeLines="0" w:afterLines="0" w:line="520" w:lineRule="exact"/>
        <w:rPr>
          <w:rFonts w:hint="default" w:eastAsia="仿宋_GB2312"/>
          <w:b/>
          <w:sz w:val="32"/>
        </w:rPr>
      </w:pPr>
    </w:p>
    <w:p>
      <w:pPr>
        <w:autoSpaceDE w:val="0"/>
        <w:autoSpaceDN w:val="0"/>
        <w:adjustRightInd w:val="0"/>
        <w:spacing w:beforeLines="0" w:afterLines="0" w:line="520" w:lineRule="exact"/>
        <w:rPr>
          <w:rFonts w:hint="default" w:eastAsia="仿宋_GB2312"/>
          <w:b/>
          <w:sz w:val="32"/>
        </w:rPr>
      </w:pPr>
    </w:p>
    <w:p>
      <w:pPr>
        <w:autoSpaceDE w:val="0"/>
        <w:autoSpaceDN w:val="0"/>
        <w:adjustRightInd w:val="0"/>
        <w:spacing w:beforeLines="0" w:afterLines="0" w:line="520" w:lineRule="exact"/>
        <w:rPr>
          <w:rFonts w:hint="default" w:eastAsia="仿宋_GB2312"/>
          <w:b/>
          <w:sz w:val="32"/>
        </w:rPr>
      </w:pPr>
    </w:p>
    <w:p>
      <w:pPr>
        <w:autoSpaceDE w:val="0"/>
        <w:autoSpaceDN w:val="0"/>
        <w:adjustRightInd w:val="0"/>
        <w:spacing w:beforeLines="0" w:afterLines="0" w:line="520" w:lineRule="exact"/>
        <w:rPr>
          <w:rFonts w:hint="default" w:eastAsia="仿宋_GB2312"/>
          <w:b/>
          <w:sz w:val="32"/>
        </w:rPr>
      </w:pPr>
    </w:p>
    <w:p>
      <w:pPr>
        <w:autoSpaceDE w:val="0"/>
        <w:autoSpaceDN w:val="0"/>
        <w:adjustRightInd w:val="0"/>
        <w:spacing w:beforeLines="0" w:afterLines="0" w:line="520" w:lineRule="exact"/>
        <w:rPr>
          <w:rFonts w:hint="default" w:eastAsia="仿宋_GB2312"/>
          <w:b/>
          <w:sz w:val="32"/>
        </w:rPr>
      </w:pPr>
    </w:p>
    <w:p>
      <w:pPr>
        <w:autoSpaceDE w:val="0"/>
        <w:autoSpaceDN w:val="0"/>
        <w:adjustRightInd w:val="0"/>
        <w:spacing w:beforeLines="0" w:afterLines="0" w:line="520" w:lineRule="exact"/>
        <w:rPr>
          <w:rFonts w:hint="default" w:eastAsia="仿宋_GB2312"/>
          <w:b/>
          <w:sz w:val="32"/>
        </w:rPr>
      </w:pPr>
    </w:p>
    <w:p>
      <w:pPr>
        <w:autoSpaceDE w:val="0"/>
        <w:autoSpaceDN w:val="0"/>
        <w:adjustRightInd w:val="0"/>
        <w:spacing w:beforeLines="0" w:afterLines="0" w:line="520" w:lineRule="exact"/>
        <w:rPr>
          <w:rFonts w:hint="default" w:eastAsia="仿宋_GB2312"/>
          <w:b/>
          <w:sz w:val="32"/>
        </w:rPr>
      </w:pPr>
    </w:p>
    <w:p>
      <w:pPr>
        <w:autoSpaceDE w:val="0"/>
        <w:autoSpaceDN w:val="0"/>
        <w:adjustRightInd w:val="0"/>
        <w:spacing w:beforeLines="0" w:afterLines="0" w:line="520" w:lineRule="exact"/>
        <w:rPr>
          <w:rFonts w:hint="default" w:eastAsia="仿宋_GB2312"/>
          <w:b/>
          <w:sz w:val="32"/>
        </w:rPr>
      </w:pPr>
    </w:p>
    <w:p>
      <w:pPr>
        <w:autoSpaceDE w:val="0"/>
        <w:autoSpaceDN w:val="0"/>
        <w:adjustRightInd w:val="0"/>
        <w:spacing w:beforeLines="0" w:afterLines="0" w:line="520" w:lineRule="exact"/>
        <w:rPr>
          <w:rFonts w:hint="default" w:eastAsia="仿宋_GB2312"/>
          <w:b/>
          <w:sz w:val="32"/>
        </w:rPr>
      </w:pPr>
    </w:p>
    <w:p>
      <w:pPr>
        <w:autoSpaceDE w:val="0"/>
        <w:autoSpaceDN w:val="0"/>
        <w:adjustRightInd w:val="0"/>
        <w:spacing w:beforeLines="0" w:afterLines="0" w:line="520" w:lineRule="exact"/>
        <w:rPr>
          <w:rFonts w:hint="default" w:eastAsia="仿宋_GB2312"/>
          <w:b/>
          <w:sz w:val="32"/>
        </w:rPr>
      </w:pPr>
    </w:p>
    <w:p>
      <w:pPr>
        <w:autoSpaceDE w:val="0"/>
        <w:autoSpaceDN w:val="0"/>
        <w:adjustRightInd w:val="0"/>
        <w:spacing w:beforeLines="0" w:afterLines="0" w:line="520" w:lineRule="exact"/>
        <w:rPr>
          <w:rFonts w:hint="default" w:eastAsia="仿宋_GB2312"/>
          <w:b/>
          <w:sz w:val="32"/>
        </w:rPr>
      </w:pPr>
    </w:p>
    <w:p>
      <w:pPr>
        <w:autoSpaceDE w:val="0"/>
        <w:autoSpaceDN w:val="0"/>
        <w:adjustRightInd w:val="0"/>
        <w:spacing w:beforeLines="0" w:afterLines="0" w:line="520" w:lineRule="exact"/>
        <w:rPr>
          <w:rFonts w:hint="default" w:eastAsia="仿宋_GB2312"/>
          <w:b/>
          <w:sz w:val="32"/>
        </w:rPr>
      </w:pPr>
    </w:p>
    <w:p>
      <w:pPr>
        <w:autoSpaceDE w:val="0"/>
        <w:autoSpaceDN w:val="0"/>
        <w:adjustRightInd w:val="0"/>
        <w:spacing w:beforeLines="0" w:afterLines="0" w:line="480" w:lineRule="exact"/>
        <w:rPr>
          <w:rFonts w:hint="default" w:ascii="仿宋_GB2312" w:hAnsi="MS Sans Serif" w:eastAsia="仿宋_GB2312"/>
          <w:kern w:val="0"/>
          <w:sz w:val="32"/>
        </w:rPr>
      </w:pPr>
      <w:r>
        <w:rPr>
          <w:rFonts w:hint="eastAsia" w:eastAsia="仿宋_GB2312"/>
          <w:b/>
          <w:sz w:val="32"/>
        </w:rPr>
        <w:t>附</w:t>
      </w:r>
      <w:r>
        <w:rPr>
          <w:rFonts w:hint="default" w:eastAsia="仿宋_GB2312"/>
          <w:b/>
          <w:sz w:val="32"/>
        </w:rPr>
        <w:t xml:space="preserve">: </w:t>
      </w:r>
      <w:r>
        <w:rPr>
          <w:rFonts w:hint="eastAsia" w:eastAsia="仿宋_GB2312"/>
          <w:b/>
          <w:sz w:val="32"/>
        </w:rPr>
        <w:t>本裁判文书适用法律条文</w:t>
      </w:r>
    </w:p>
    <w:p>
      <w:pPr>
        <w:autoSpaceDE w:val="0"/>
        <w:autoSpaceDN w:val="0"/>
        <w:adjustRightInd w:val="0"/>
        <w:spacing w:beforeLines="0" w:afterLines="0" w:line="480" w:lineRule="exact"/>
        <w:ind w:firstLine="480" w:firstLineChars="150"/>
        <w:rPr>
          <w:rFonts w:hint="default" w:ascii="仿宋_GB2312" w:hAnsi="MS Sans Serif" w:eastAsia="仿宋_GB2312"/>
          <w:kern w:val="0"/>
          <w:sz w:val="32"/>
        </w:rPr>
      </w:pPr>
      <w:r>
        <w:rPr>
          <w:rFonts w:hint="eastAsia" w:ascii="仿宋_GB2312" w:hAnsi="MS Sans Serif" w:eastAsia="仿宋_GB2312"/>
          <w:b/>
          <w:kern w:val="0"/>
          <w:sz w:val="32"/>
        </w:rPr>
        <w:t>《中华人民共和国刑法》</w:t>
      </w:r>
    </w:p>
    <w:p>
      <w:pPr>
        <w:autoSpaceDE w:val="0"/>
        <w:autoSpaceDN w:val="0"/>
        <w:adjustRightInd w:val="0"/>
        <w:spacing w:beforeLines="0" w:afterLines="0" w:line="48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第六十七条第一款  犯罪以后自动投案，如实供述自己的罪行的，是自首。对于自首的犯罪分子，可以从轻或者减轻处罚。其中，犯罪较轻的，可以免除处罚。</w:t>
      </w:r>
    </w:p>
    <w:p>
      <w:pPr>
        <w:autoSpaceDE w:val="0"/>
        <w:autoSpaceDN w:val="0"/>
        <w:adjustRightInd w:val="0"/>
        <w:spacing w:beforeLines="0" w:afterLines="0" w:line="48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第七十二条第一款  对于被判处拘役、三年以下有期徒刑的犯罪分子，同时符合下列条件的，可以宣告缓刑，对其中不满十八周岁的人、怀孕的妇女和已满七十五周岁的人，应当宣告缓刑：</w:t>
      </w:r>
    </w:p>
    <w:p>
      <w:pPr>
        <w:autoSpaceDE w:val="0"/>
        <w:autoSpaceDN w:val="0"/>
        <w:adjustRightInd w:val="0"/>
        <w:spacing w:beforeLines="0" w:afterLines="0" w:line="48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（一）犯罪情节较轻；</w:t>
      </w:r>
    </w:p>
    <w:p>
      <w:pPr>
        <w:autoSpaceDE w:val="0"/>
        <w:autoSpaceDN w:val="0"/>
        <w:adjustRightInd w:val="0"/>
        <w:spacing w:beforeLines="0" w:afterLines="0" w:line="48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（二）有悔罪表现；</w:t>
      </w:r>
    </w:p>
    <w:p>
      <w:pPr>
        <w:autoSpaceDE w:val="0"/>
        <w:autoSpaceDN w:val="0"/>
        <w:adjustRightInd w:val="0"/>
        <w:spacing w:beforeLines="0" w:afterLines="0" w:line="48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（三）没有再犯罪的危险；</w:t>
      </w:r>
    </w:p>
    <w:p>
      <w:pPr>
        <w:autoSpaceDE w:val="0"/>
        <w:autoSpaceDN w:val="0"/>
        <w:adjustRightInd w:val="0"/>
        <w:spacing w:beforeLines="0" w:afterLines="0" w:line="48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（四）宣告缓刑对所居住社区没有重大不良影响。</w:t>
      </w:r>
    </w:p>
    <w:p>
      <w:pPr>
        <w:autoSpaceDE w:val="0"/>
        <w:autoSpaceDN w:val="0"/>
        <w:adjustRightInd w:val="0"/>
        <w:spacing w:beforeLines="0" w:afterLines="0" w:line="48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第七十三条第二款  有期徒刑的缓刑考验期限为原判刑期以上五年以下，但是不能少于一年。</w:t>
      </w:r>
    </w:p>
    <w:p>
      <w:pPr>
        <w:autoSpaceDE w:val="0"/>
        <w:autoSpaceDN w:val="0"/>
        <w:adjustRightInd w:val="0"/>
        <w:spacing w:beforeLines="0" w:afterLines="0" w:line="48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第七十三条第三款  缓刑考验期限，从判决确定之日起计算。</w:t>
      </w:r>
    </w:p>
    <w:p>
      <w:pPr>
        <w:autoSpaceDE w:val="0"/>
        <w:autoSpaceDN w:val="0"/>
        <w:adjustRightInd w:val="0"/>
        <w:spacing w:beforeLines="0" w:afterLines="0" w:line="48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第一百九十六条第一款第（四）项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autoSpaceDE w:val="0"/>
        <w:autoSpaceDN w:val="0"/>
        <w:adjustRightInd w:val="0"/>
        <w:spacing w:beforeLines="0" w:afterLines="0" w:line="48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（四）恶意透支的。</w:t>
      </w:r>
    </w:p>
    <w:p>
      <w:pPr>
        <w:autoSpaceDE w:val="0"/>
        <w:autoSpaceDN w:val="0"/>
        <w:adjustRightInd w:val="0"/>
        <w:spacing w:beforeLines="0" w:afterLines="0" w:line="44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第一百九十六条第二款  前款所称恶意透支，是指持卡人以非法占有为目的，超过规定限额或者规定期限透支，并且经发卡银行催收后仍不归还的行为。</w:t>
      </w:r>
    </w:p>
    <w:sectPr>
      <w:footerReference r:id="rId3" w:type="default"/>
      <w:pgSz w:w="11907" w:h="16840"/>
      <w:pgMar w:top="1701" w:right="1418" w:bottom="1701" w:left="1701" w:header="720" w:footer="1418"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0000000000000000000"/>
    <w:charset w:val="86"/>
    <w:family w:val="modern"/>
    <w:pitch w:val="default"/>
    <w:sig w:usb0="00000000" w:usb1="00000000" w:usb2="0000000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spacing w:beforeLines="0" w:afterLines="0"/>
      <w:rPr>
        <w:rStyle w:val="6"/>
        <w:rFonts w:hint="default"/>
        <w:sz w:val="18"/>
      </w:rPr>
    </w:pPr>
    <w:r>
      <w:rPr>
        <w:rStyle w:val="6"/>
        <w:rFonts w:hint="default"/>
        <w:sz w:val="18"/>
      </w:rPr>
      <w:fldChar w:fldCharType="begin"/>
    </w:r>
    <w:r>
      <w:rPr>
        <w:rStyle w:val="6"/>
        <w:rFonts w:hint="default"/>
        <w:sz w:val="18"/>
      </w:rPr>
      <w:instrText xml:space="preserve">PAGE  </w:instrText>
    </w:r>
    <w:r>
      <w:rPr>
        <w:rStyle w:val="6"/>
        <w:rFonts w:hint="default"/>
        <w:sz w:val="18"/>
      </w:rPr>
      <w:fldChar w:fldCharType="separate"/>
    </w:r>
    <w:r>
      <w:rPr>
        <w:rStyle w:val="6"/>
        <w:rFonts w:hint="default"/>
        <w:sz w:val="18"/>
      </w:rPr>
      <w:t>4</w:t>
    </w:r>
    <w:r>
      <w:rPr>
        <w:rStyle w:val="6"/>
        <w:rFonts w:hint="default"/>
        <w:sz w:val="18"/>
      </w:rPr>
      <w:fldChar w:fldCharType="end"/>
    </w:r>
  </w:p>
  <w:p>
    <w:pPr>
      <w:pStyle w:val="3"/>
      <w:spacing w:beforeLines="0" w:afterLines="0"/>
      <w:rPr>
        <w:rFonts w:hint="default"/>
        <w:sz w:val="1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rawingGridHorizontalSpacing w:val="105"/>
  <w:drawingGridVerticalSpacing w:val="120"/>
  <w:displayHorizontalDrawingGridEvery w:val="0"/>
  <w:displayVerticalDrawingGridEvery w:val="3"/>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163197D"/>
    <w:rsid w:val="18102B69"/>
    <w:rsid w:val="5049333B"/>
    <w:rsid w:val="5DCB11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ocked="1"/>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99"/>
    <w:pPr>
      <w:widowControl w:val="0"/>
      <w:spacing w:beforeLines="0" w:afterLines="0"/>
      <w:jc w:val="both"/>
    </w:pPr>
    <w:rPr>
      <w:rFonts w:hint="eastAsia" w:ascii="Times New Roman" w:hAnsi="Times New Roman" w:eastAsia="宋体" w:cs="Times New Roman"/>
      <w:kern w:val="2"/>
      <w:sz w:val="21"/>
      <w:lang w:val="en-US" w:eastAsia="zh-CN"/>
    </w:rPr>
  </w:style>
  <w:style w:type="character" w:default="1" w:styleId="4">
    <w:name w:val="Default Paragraph Font"/>
    <w:link w:val="5"/>
    <w:unhideWhenUsed/>
    <w:locked/>
    <w:uiPriority w:val="99"/>
    <w:rPr>
      <w:rFonts w:hint="default"/>
      <w:sz w:val="24"/>
    </w:rPr>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Date"/>
    <w:basedOn w:val="1"/>
    <w:next w:val="1"/>
    <w:unhideWhenUsed/>
    <w:uiPriority w:val="99"/>
    <w:pPr>
      <w:spacing w:beforeLines="0" w:afterLines="0"/>
      <w:ind w:left="100" w:leftChars="2500"/>
    </w:pPr>
    <w:rPr>
      <w:rFonts w:hint="eastAsia"/>
      <w:sz w:val="21"/>
    </w:rPr>
  </w:style>
  <w:style w:type="paragraph" w:styleId="3">
    <w:name w:val="footer"/>
    <w:basedOn w:val="1"/>
    <w:unhideWhenUsed/>
    <w:uiPriority w:val="99"/>
    <w:pPr>
      <w:tabs>
        <w:tab w:val="center" w:pos="4153"/>
        <w:tab w:val="right" w:pos="8306"/>
      </w:tabs>
      <w:snapToGrid w:val="0"/>
      <w:spacing w:beforeLines="0" w:afterLines="0"/>
      <w:jc w:val="left"/>
    </w:pPr>
    <w:rPr>
      <w:rFonts w:hint="eastAsia"/>
      <w:sz w:val="18"/>
    </w:rPr>
  </w:style>
  <w:style w:type="paragraph" w:customStyle="1" w:styleId="5">
    <w:name w:val="Char"/>
    <w:basedOn w:val="1"/>
    <w:link w:val="4"/>
    <w:unhideWhenUsed/>
    <w:uiPriority w:val="99"/>
    <w:pPr>
      <w:widowControl/>
      <w:spacing w:beforeLines="0" w:after="160" w:afterLines="0" w:line="240" w:lineRule="exact"/>
      <w:jc w:val="left"/>
    </w:pPr>
    <w:rPr>
      <w:rFonts w:hint="eastAsia" w:ascii="Verdana" w:hAnsi="Verdana" w:eastAsia="仿宋_GB2312"/>
      <w:sz w:val="24"/>
      <w:lang w:eastAsia="en-US"/>
    </w:rPr>
  </w:style>
  <w:style w:type="character" w:styleId="6">
    <w:name w:val="page number"/>
    <w:basedOn w:val="4"/>
    <w:unhideWhenUsed/>
    <w:uiPriority w:val="99"/>
    <w:rPr>
      <w:rFonts w:hint="default"/>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Office_10.1.0.7401_F1E327BC-269C-435d-A152-05C5408002CA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2018-08-27T08:55:00Z</dcterms:created>
  <cp:lastModifiedBy>TF-PC</cp:lastModifiedBy>
  <dcterms:modified xsi:type="dcterms:W3CDTF">2018-08-27T09:40:22Z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