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line="800" w:lineRule="exact"/>
        <w:jc w:val="center"/>
        <w:rPr>
          <w:rFonts w:ascii="宋体" w:hAnsi="宋体"/>
          <w:b/>
          <w:kern w:val="0"/>
          <w:sz w:val="44"/>
          <w:szCs w:val="44"/>
        </w:rPr>
      </w:pPr>
      <w:bookmarkStart w:id="0" w:name="_GoBack"/>
      <w:bookmarkEnd w:id="0"/>
      <w:r>
        <w:rPr>
          <w:rFonts w:hint="eastAsia" w:ascii="宋体" w:hAnsi="宋体" w:cs="黑体"/>
          <w:b/>
          <w:kern w:val="0"/>
          <w:sz w:val="44"/>
          <w:szCs w:val="44"/>
        </w:rPr>
        <w:t>天津市河北区人民法院</w:t>
      </w:r>
    </w:p>
    <w:p>
      <w:pPr>
        <w:autoSpaceDE w:val="0"/>
        <w:autoSpaceDN w:val="0"/>
        <w:adjustRightInd w:val="0"/>
        <w:spacing w:line="800" w:lineRule="exact"/>
        <w:jc w:val="center"/>
        <w:rPr>
          <w:rFonts w:ascii="仿宋_GB2312" w:hAnsi="MS Sans Serif" w:eastAsia="仿宋_GB2312"/>
          <w:kern w:val="0"/>
          <w:sz w:val="32"/>
          <w:szCs w:val="32"/>
        </w:rPr>
      </w:pPr>
      <w:r>
        <w:rPr>
          <w:rFonts w:hint="eastAsia" w:ascii="宋体" w:hAnsi="宋体" w:cs="黑体"/>
          <w:b/>
          <w:bCs/>
          <w:kern w:val="0"/>
          <w:sz w:val="52"/>
          <w:szCs w:val="52"/>
        </w:rPr>
        <w:t>刑事判决书</w:t>
      </w:r>
    </w:p>
    <w:p>
      <w:pPr>
        <w:autoSpaceDE w:val="0"/>
        <w:autoSpaceDN w:val="0"/>
        <w:adjustRightInd w:val="0"/>
        <w:spacing w:line="520" w:lineRule="exact"/>
        <w:ind w:firstLine="640" w:firstLineChars="200"/>
        <w:jc w:val="right"/>
        <w:rPr>
          <w:rFonts w:hint="eastAsia" w:ascii="仿宋_GB2312" w:hAnsi="MS Sans Serif" w:eastAsia="仿宋_GB2312" w:cs="仿宋_GB2312"/>
          <w:kern w:val="0"/>
          <w:sz w:val="32"/>
          <w:szCs w:val="32"/>
        </w:rPr>
      </w:pPr>
      <w:r>
        <w:rPr>
          <w:rFonts w:ascii="仿宋_GB2312" w:hAnsi="MS Sans Serif" w:eastAsia="仿宋_GB2312" w:cs="仿宋_GB2312"/>
          <w:kern w:val="0"/>
          <w:sz w:val="32"/>
          <w:szCs w:val="32"/>
        </w:rPr>
        <w:t>(201</w:t>
      </w:r>
      <w:r>
        <w:rPr>
          <w:rFonts w:hint="eastAsia" w:ascii="仿宋_GB2312" w:hAnsi="MS Sans Serif" w:eastAsia="仿宋_GB2312" w:cs="仿宋_GB2312"/>
          <w:kern w:val="0"/>
          <w:sz w:val="32"/>
          <w:szCs w:val="32"/>
        </w:rPr>
        <w:t>4</w:t>
      </w:r>
      <w:r>
        <w:rPr>
          <w:rFonts w:ascii="仿宋_GB2312" w:hAnsi="MS Sans Serif" w:eastAsia="仿宋_GB2312" w:cs="仿宋_GB2312"/>
          <w:kern w:val="0"/>
          <w:sz w:val="32"/>
          <w:szCs w:val="32"/>
        </w:rPr>
        <w:t>)</w:t>
      </w:r>
      <w:r>
        <w:rPr>
          <w:rFonts w:hint="eastAsia" w:ascii="仿宋_GB2312" w:hAnsi="MS Sans Serif" w:eastAsia="仿宋_GB2312" w:cs="仿宋_GB2312"/>
          <w:kern w:val="0"/>
          <w:sz w:val="32"/>
          <w:szCs w:val="32"/>
        </w:rPr>
        <w:t>北刑初字第139号</w:t>
      </w:r>
    </w:p>
    <w:p>
      <w:pPr>
        <w:autoSpaceDE w:val="0"/>
        <w:autoSpaceDN w:val="0"/>
        <w:adjustRightInd w:val="0"/>
        <w:spacing w:line="520" w:lineRule="exact"/>
        <w:ind w:firstLine="640" w:firstLineChars="200"/>
        <w:jc w:val="left"/>
        <w:rPr>
          <w:rFonts w:hint="eastAsia" w:ascii="仿宋_GB2312" w:hAnsi="MS Sans Serif" w:eastAsia="仿宋_GB2312" w:cs="仿宋_GB2312"/>
          <w:kern w:val="0"/>
          <w:sz w:val="32"/>
          <w:szCs w:val="32"/>
        </w:rPr>
      </w:pPr>
    </w:p>
    <w:p>
      <w:pPr>
        <w:autoSpaceDE w:val="0"/>
        <w:autoSpaceDN w:val="0"/>
        <w:adjustRightInd w:val="0"/>
        <w:spacing w:line="520" w:lineRule="exact"/>
        <w:ind w:firstLine="640" w:firstLineChars="200"/>
        <w:jc w:val="left"/>
        <w:rPr>
          <w:rFonts w:ascii="仿宋_GB2312" w:hAnsi="MS Sans Serif" w:eastAsia="仿宋_GB2312"/>
          <w:kern w:val="0"/>
          <w:sz w:val="32"/>
          <w:szCs w:val="32"/>
        </w:rPr>
      </w:pPr>
      <w:r>
        <w:rPr>
          <w:rFonts w:hint="eastAsia" w:ascii="仿宋_GB2312" w:hAnsi="MS Sans Serif" w:eastAsia="仿宋_GB2312" w:cs="仿宋_GB2312"/>
          <w:kern w:val="0"/>
          <w:sz w:val="32"/>
          <w:szCs w:val="32"/>
        </w:rPr>
        <w:t>公诉机关天津市河北区人民检察院。</w:t>
      </w:r>
    </w:p>
    <w:p>
      <w:pPr>
        <w:autoSpaceDE w:val="0"/>
        <w:autoSpaceDN w:val="0"/>
        <w:adjustRightInd w:val="0"/>
        <w:spacing w:line="520" w:lineRule="exact"/>
        <w:ind w:firstLine="645"/>
        <w:jc w:val="left"/>
        <w:rPr>
          <w:rFonts w:hint="eastAsia" w:ascii="仿宋_GB2312" w:hAnsi="MS Sans Serif" w:eastAsia="仿宋_GB2312"/>
          <w:kern w:val="0"/>
          <w:sz w:val="32"/>
          <w:szCs w:val="32"/>
        </w:rPr>
      </w:pPr>
      <w:r>
        <w:rPr>
          <w:rFonts w:hint="eastAsia" w:ascii="仿宋_GB2312" w:hAnsi="MS Sans Serif" w:eastAsia="仿宋_GB2312" w:cs="仿宋_GB2312"/>
          <w:kern w:val="0"/>
          <w:sz w:val="32"/>
          <w:szCs w:val="32"/>
        </w:rPr>
        <w:t>被告人马文，女，</w:t>
      </w:r>
      <w:r>
        <w:rPr>
          <w:rFonts w:ascii="仿宋_GB2312" w:hAnsi="MS Sans Serif" w:eastAsia="仿宋_GB2312" w:cs="仿宋_GB2312"/>
          <w:kern w:val="0"/>
          <w:sz w:val="32"/>
          <w:szCs w:val="32"/>
        </w:rPr>
        <w:t>19</w:t>
      </w:r>
      <w:r>
        <w:rPr>
          <w:rFonts w:hint="eastAsia" w:ascii="仿宋_GB2312" w:hAnsi="MS Sans Serif" w:eastAsia="仿宋_GB2312" w:cs="仿宋_GB2312"/>
          <w:kern w:val="0"/>
          <w:sz w:val="32"/>
          <w:szCs w:val="32"/>
        </w:rPr>
        <w:t>87年12月2日出生于天津市，公民身份号码：</w:t>
      </w:r>
      <w:r>
        <w:rPr>
          <w:rFonts w:ascii="仿宋_GB2312" w:hAnsi="MS Sans Serif" w:eastAsia="仿宋_GB2312" w:cs="仿宋_GB2312"/>
          <w:kern w:val="0"/>
          <w:sz w:val="32"/>
          <w:szCs w:val="32"/>
        </w:rPr>
        <w:t>12010</w:t>
      </w:r>
      <w:r>
        <w:rPr>
          <w:rFonts w:hint="eastAsia" w:ascii="仿宋_GB2312" w:hAnsi="MS Sans Serif" w:eastAsia="仿宋_GB2312" w:cs="仿宋_GB2312"/>
          <w:kern w:val="0"/>
          <w:sz w:val="32"/>
          <w:szCs w:val="32"/>
        </w:rPr>
        <w:t>519871202124X，汉族，职专文化，无职业，住天津市河东区万新村天山西路5号，户籍在天津市河北区金纬路振德里10号楼38门205号。因本案于</w:t>
      </w:r>
      <w:r>
        <w:rPr>
          <w:rFonts w:ascii="仿宋_GB2312" w:hAnsi="MS Sans Serif" w:eastAsia="仿宋_GB2312" w:cs="仿宋_GB2312"/>
          <w:kern w:val="0"/>
          <w:sz w:val="32"/>
          <w:szCs w:val="32"/>
        </w:rPr>
        <w:t>201</w:t>
      </w:r>
      <w:r>
        <w:rPr>
          <w:rFonts w:hint="eastAsia" w:ascii="仿宋_GB2312" w:hAnsi="MS Sans Serif" w:eastAsia="仿宋_GB2312" w:cs="仿宋_GB2312"/>
          <w:kern w:val="0"/>
          <w:sz w:val="32"/>
          <w:szCs w:val="32"/>
        </w:rPr>
        <w:t>4年3月2</w:t>
      </w:r>
      <w:r>
        <w:rPr>
          <w:rFonts w:ascii="仿宋_GB2312" w:hAnsi="MS Sans Serif" w:eastAsia="仿宋_GB2312" w:cs="仿宋_GB2312"/>
          <w:kern w:val="0"/>
          <w:sz w:val="32"/>
          <w:szCs w:val="32"/>
        </w:rPr>
        <w:t>0</w:t>
      </w:r>
      <w:r>
        <w:rPr>
          <w:rFonts w:hint="eastAsia" w:ascii="仿宋_GB2312" w:hAnsi="MS Sans Serif" w:eastAsia="仿宋_GB2312" w:cs="仿宋_GB2312"/>
          <w:kern w:val="0"/>
          <w:sz w:val="32"/>
          <w:szCs w:val="32"/>
        </w:rPr>
        <w:t>日被取保候审，现在居住地取保候审。</w:t>
      </w:r>
    </w:p>
    <w:p>
      <w:pPr>
        <w:autoSpaceDE w:val="0"/>
        <w:autoSpaceDN w:val="0"/>
        <w:adjustRightInd w:val="0"/>
        <w:spacing w:line="520" w:lineRule="exact"/>
        <w:ind w:firstLine="645"/>
        <w:jc w:val="left"/>
        <w:rPr>
          <w:rFonts w:ascii="仿宋_GB2312" w:hAnsi="MS Sans Serif" w:eastAsia="仿宋_GB2312"/>
          <w:kern w:val="0"/>
          <w:sz w:val="32"/>
          <w:szCs w:val="32"/>
        </w:rPr>
      </w:pPr>
      <w:r>
        <w:rPr>
          <w:rFonts w:hint="eastAsia" w:ascii="仿宋_GB2312" w:hAnsi="MS Sans Serif" w:eastAsia="仿宋_GB2312" w:cs="仿宋_GB2312"/>
          <w:kern w:val="0"/>
          <w:sz w:val="32"/>
          <w:szCs w:val="32"/>
        </w:rPr>
        <w:t>天津市河北区人民检察院以津北检刑诉</w:t>
      </w:r>
      <w:r>
        <w:rPr>
          <w:rFonts w:ascii="仿宋_GB2312" w:hAnsi="MS Sans Serif" w:eastAsia="仿宋_GB2312" w:cs="仿宋_GB2312"/>
          <w:kern w:val="0"/>
          <w:sz w:val="32"/>
          <w:szCs w:val="32"/>
        </w:rPr>
        <w:t>[201</w:t>
      </w:r>
      <w:r>
        <w:rPr>
          <w:rFonts w:hint="eastAsia" w:ascii="仿宋_GB2312" w:hAnsi="MS Sans Serif" w:eastAsia="仿宋_GB2312" w:cs="仿宋_GB2312"/>
          <w:kern w:val="0"/>
          <w:sz w:val="32"/>
          <w:szCs w:val="32"/>
        </w:rPr>
        <w:t>4</w:t>
      </w:r>
      <w:r>
        <w:rPr>
          <w:rFonts w:ascii="仿宋_GB2312" w:hAnsi="MS Sans Serif" w:eastAsia="仿宋_GB2312" w:cs="仿宋_GB2312"/>
          <w:kern w:val="0"/>
          <w:sz w:val="32"/>
          <w:szCs w:val="32"/>
        </w:rPr>
        <w:t>]</w:t>
      </w:r>
      <w:r>
        <w:rPr>
          <w:rFonts w:hint="eastAsia" w:ascii="仿宋_GB2312" w:hAnsi="MS Sans Serif" w:eastAsia="仿宋_GB2312" w:cs="仿宋_GB2312"/>
          <w:kern w:val="0"/>
          <w:sz w:val="32"/>
          <w:szCs w:val="32"/>
        </w:rPr>
        <w:t>92号起诉书指控被告人马文犯信用卡诈骗罪，于</w:t>
      </w:r>
      <w:r>
        <w:rPr>
          <w:rFonts w:ascii="仿宋_GB2312" w:hAnsi="MS Sans Serif" w:eastAsia="仿宋_GB2312" w:cs="仿宋_GB2312"/>
          <w:kern w:val="0"/>
          <w:sz w:val="32"/>
          <w:szCs w:val="32"/>
        </w:rPr>
        <w:t>201</w:t>
      </w:r>
      <w:r>
        <w:rPr>
          <w:rFonts w:hint="eastAsia" w:ascii="仿宋_GB2312" w:hAnsi="MS Sans Serif" w:eastAsia="仿宋_GB2312" w:cs="仿宋_GB2312"/>
          <w:kern w:val="0"/>
          <w:sz w:val="32"/>
          <w:szCs w:val="32"/>
        </w:rPr>
        <w:t>4年5月</w:t>
      </w:r>
      <w:r>
        <w:rPr>
          <w:rFonts w:ascii="仿宋_GB2312" w:hAnsi="MS Sans Serif" w:eastAsia="仿宋_GB2312" w:cs="仿宋_GB2312"/>
          <w:kern w:val="0"/>
          <w:sz w:val="32"/>
          <w:szCs w:val="32"/>
        </w:rPr>
        <w:t>1</w:t>
      </w:r>
      <w:r>
        <w:rPr>
          <w:rFonts w:hint="eastAsia" w:ascii="仿宋_GB2312" w:hAnsi="MS Sans Serif" w:eastAsia="仿宋_GB2312" w:cs="仿宋_GB2312"/>
          <w:kern w:val="0"/>
          <w:sz w:val="32"/>
          <w:szCs w:val="32"/>
        </w:rPr>
        <w:t>3日向本院提起公诉。本院依法适用简易程序，实行独任审判，公开开庭审理了本案。天津市河北区人民检察院指派检察员尔虹霞出庭支持公诉，被告人马文到庭参加诉讼，现已审理终结。</w:t>
      </w:r>
    </w:p>
    <w:p>
      <w:pPr>
        <w:autoSpaceDE w:val="0"/>
        <w:autoSpaceDN w:val="0"/>
        <w:adjustRightInd w:val="0"/>
        <w:spacing w:line="520" w:lineRule="exact"/>
        <w:ind w:firstLine="645"/>
        <w:jc w:val="left"/>
        <w:rPr>
          <w:rFonts w:ascii="仿宋_GB2312" w:hAnsi="MS Sans Serif" w:eastAsia="仿宋_GB2312"/>
          <w:kern w:val="0"/>
          <w:sz w:val="32"/>
          <w:szCs w:val="32"/>
        </w:rPr>
      </w:pPr>
      <w:r>
        <w:rPr>
          <w:rFonts w:hint="eastAsia" w:ascii="仿宋_GB2312" w:hAnsi="MS Sans Serif" w:eastAsia="仿宋_GB2312" w:cs="仿宋_GB2312"/>
          <w:kern w:val="0"/>
          <w:sz w:val="32"/>
          <w:szCs w:val="32"/>
        </w:rPr>
        <w:t>天津市河北区人民检察院指控称，被告人马文于2010年7月申领了中国光大银行卡号为3568400000051052的信用卡一张，同年8月开卡后即开始透支消费，账户中的欠款始终接近或者超过信用额度。从</w:t>
      </w:r>
      <w:r>
        <w:rPr>
          <w:rFonts w:ascii="仿宋_GB2312" w:hAnsi="MS Sans Serif" w:eastAsia="仿宋_GB2312" w:cs="仿宋_GB2312"/>
          <w:kern w:val="0"/>
          <w:sz w:val="32"/>
          <w:szCs w:val="32"/>
        </w:rPr>
        <w:t>20</w:t>
      </w:r>
      <w:r>
        <w:rPr>
          <w:rFonts w:hint="eastAsia" w:ascii="仿宋_GB2312" w:hAnsi="MS Sans Serif" w:eastAsia="仿宋_GB2312" w:cs="仿宋_GB2312"/>
          <w:kern w:val="0"/>
          <w:sz w:val="32"/>
          <w:szCs w:val="32"/>
        </w:rPr>
        <w:t>10年8月至</w:t>
      </w:r>
      <w:r>
        <w:rPr>
          <w:rFonts w:ascii="仿宋_GB2312" w:hAnsi="MS Sans Serif" w:eastAsia="仿宋_GB2312" w:cs="仿宋_GB2312"/>
          <w:kern w:val="0"/>
          <w:sz w:val="32"/>
          <w:szCs w:val="32"/>
        </w:rPr>
        <w:t>2012</w:t>
      </w:r>
      <w:r>
        <w:rPr>
          <w:rFonts w:hint="eastAsia" w:ascii="仿宋_GB2312" w:hAnsi="MS Sans Serif" w:eastAsia="仿宋_GB2312" w:cs="仿宋_GB2312"/>
          <w:kern w:val="0"/>
          <w:sz w:val="32"/>
          <w:szCs w:val="32"/>
        </w:rPr>
        <w:t>年3月间，马文明知自己没有还款能力仍持该信用卡先后在本市河北区世纪联华中山路店、天津医药北站药店等多地透支消费。2012年3月21日最后一次还款人民币6500元后再无有效还款，经中国光大银行工作人员多次催缴，马文超过三个月仍拒不归还剩余欠款。截止至</w:t>
      </w:r>
      <w:r>
        <w:rPr>
          <w:rFonts w:ascii="仿宋_GB2312" w:hAnsi="MS Sans Serif" w:eastAsia="仿宋_GB2312" w:cs="仿宋_GB2312"/>
          <w:kern w:val="0"/>
          <w:sz w:val="32"/>
          <w:szCs w:val="32"/>
        </w:rPr>
        <w:t>201</w:t>
      </w:r>
      <w:r>
        <w:rPr>
          <w:rFonts w:hint="eastAsia" w:ascii="仿宋_GB2312" w:hAnsi="MS Sans Serif" w:eastAsia="仿宋_GB2312" w:cs="仿宋_GB2312"/>
          <w:kern w:val="0"/>
          <w:sz w:val="32"/>
          <w:szCs w:val="32"/>
        </w:rPr>
        <w:t>4年1月</w:t>
      </w:r>
      <w:r>
        <w:rPr>
          <w:rFonts w:ascii="仿宋_GB2312" w:hAnsi="MS Sans Serif" w:eastAsia="仿宋_GB2312" w:cs="仿宋_GB2312"/>
          <w:kern w:val="0"/>
          <w:sz w:val="32"/>
          <w:szCs w:val="32"/>
        </w:rPr>
        <w:t>5</w:t>
      </w:r>
      <w:r>
        <w:rPr>
          <w:rFonts w:hint="eastAsia" w:ascii="仿宋_GB2312" w:hAnsi="MS Sans Serif" w:eastAsia="仿宋_GB2312" w:cs="仿宋_GB2312"/>
          <w:kern w:val="0"/>
          <w:sz w:val="32"/>
          <w:szCs w:val="32"/>
        </w:rPr>
        <w:t>日，被告人马文名下的该信用卡账户共计欠款人民币36140.88元，其中本金人民币29758.43元、利息人民币1663.83元、滞纳金人民币4103.18元、超限费人民币615.44元。</w:t>
      </w:r>
    </w:p>
    <w:p>
      <w:pPr>
        <w:autoSpaceDE w:val="0"/>
        <w:autoSpaceDN w:val="0"/>
        <w:adjustRightInd w:val="0"/>
        <w:spacing w:line="520" w:lineRule="exact"/>
        <w:ind w:firstLine="645"/>
        <w:jc w:val="lef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后被害单位报警，经公安机关传唤，被告人马文于</w:t>
      </w:r>
      <w:r>
        <w:rPr>
          <w:rFonts w:ascii="仿宋_GB2312" w:hAnsi="MS Sans Serif" w:eastAsia="仿宋_GB2312" w:cs="仿宋_GB2312"/>
          <w:kern w:val="0"/>
          <w:sz w:val="32"/>
          <w:szCs w:val="32"/>
        </w:rPr>
        <w:t>201</w:t>
      </w:r>
      <w:r>
        <w:rPr>
          <w:rFonts w:hint="eastAsia" w:ascii="仿宋_GB2312" w:hAnsi="MS Sans Serif" w:eastAsia="仿宋_GB2312" w:cs="仿宋_GB2312"/>
          <w:kern w:val="0"/>
          <w:sz w:val="32"/>
          <w:szCs w:val="32"/>
        </w:rPr>
        <w:t>4年3月20日到公安机关投案并如实供述了上述事实。</w:t>
      </w:r>
    </w:p>
    <w:p>
      <w:pPr>
        <w:spacing w:line="520" w:lineRule="exact"/>
        <w:ind w:firstLine="640" w:firstLineChars="200"/>
        <w:rPr>
          <w:rFonts w:hint="eastAsia" w:ascii="仿宋_GB2312" w:eastAsia="仿宋_GB2312" w:cs="仿宋_GB2312"/>
          <w:sz w:val="32"/>
          <w:szCs w:val="32"/>
        </w:rPr>
      </w:pPr>
      <w:r>
        <w:rPr>
          <w:rFonts w:hint="eastAsia" w:ascii="仿宋_GB2312" w:eastAsia="仿宋_GB2312" w:cs="仿宋_GB2312"/>
          <w:sz w:val="32"/>
          <w:szCs w:val="32"/>
        </w:rPr>
        <w:t>在审理期间，被告人马文</w:t>
      </w:r>
      <w:r>
        <w:rPr>
          <w:rFonts w:hint="eastAsia" w:ascii="仿宋_GB2312" w:hAnsi="MS Sans Serif" w:eastAsia="仿宋_GB2312" w:cs="仿宋_GB2312"/>
          <w:kern w:val="0"/>
          <w:sz w:val="32"/>
          <w:szCs w:val="32"/>
        </w:rPr>
        <w:t>于</w:t>
      </w:r>
      <w:r>
        <w:rPr>
          <w:rFonts w:ascii="仿宋_GB2312" w:hAnsi="MS Sans Serif" w:eastAsia="仿宋_GB2312" w:cs="仿宋_GB2312"/>
          <w:kern w:val="0"/>
          <w:sz w:val="32"/>
          <w:szCs w:val="32"/>
        </w:rPr>
        <w:t>201</w:t>
      </w:r>
      <w:r>
        <w:rPr>
          <w:rFonts w:hint="eastAsia" w:ascii="仿宋_GB2312" w:hAnsi="MS Sans Serif" w:eastAsia="仿宋_GB2312" w:cs="仿宋_GB2312"/>
          <w:kern w:val="0"/>
          <w:sz w:val="32"/>
          <w:szCs w:val="32"/>
        </w:rPr>
        <w:t>4年5月22日</w:t>
      </w:r>
      <w:r>
        <w:rPr>
          <w:rFonts w:hint="eastAsia" w:ascii="仿宋_GB2312" w:eastAsia="仿宋_GB2312" w:cs="仿宋_GB2312"/>
          <w:sz w:val="32"/>
          <w:szCs w:val="32"/>
        </w:rPr>
        <w:t>偿还了欠款本金（实际还款人民币30000元），中国光大银行对其他费用予以减免，并出具了证明材料。</w:t>
      </w:r>
    </w:p>
    <w:p>
      <w:pPr>
        <w:spacing w:line="520" w:lineRule="exact"/>
        <w:ind w:firstLine="640" w:firstLineChars="200"/>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上述事实，被告人马文在开庭审理过程中亦无异议，</w:t>
      </w:r>
      <w:r>
        <w:rPr>
          <w:rFonts w:hint="eastAsia" w:ascii="仿宋_GB2312" w:eastAsia="仿宋_GB2312" w:cs="仿宋_GB2312"/>
          <w:sz w:val="32"/>
          <w:szCs w:val="32"/>
        </w:rPr>
        <w:t>并有被害单位中国光大银行提供的报案材料、开卡申请表、对账单、催缴记录、账户信息、还款凭条、结清欠款证明，报案人许澎的陈述，公安机关出具的案件来源及到案经过、居民信息表等证据证实，足以认定。</w:t>
      </w:r>
    </w:p>
    <w:p>
      <w:pPr>
        <w:autoSpaceDE w:val="0"/>
        <w:autoSpaceDN w:val="0"/>
        <w:adjustRightInd w:val="0"/>
        <w:spacing w:line="520" w:lineRule="exact"/>
        <w:ind w:firstLine="640" w:firstLineChars="200"/>
        <w:jc w:val="left"/>
        <w:rPr>
          <w:rFonts w:ascii="仿宋_GB2312" w:hAnsi="MS Sans Serif" w:eastAsia="仿宋_GB2312"/>
          <w:kern w:val="0"/>
          <w:sz w:val="32"/>
          <w:szCs w:val="32"/>
        </w:rPr>
      </w:pPr>
      <w:r>
        <w:rPr>
          <w:rFonts w:hint="eastAsia" w:ascii="仿宋_GB2312" w:hAnsi="MS Sans Serif" w:eastAsia="仿宋_GB2312" w:cs="仿宋_GB2312"/>
          <w:kern w:val="0"/>
          <w:sz w:val="32"/>
          <w:szCs w:val="32"/>
        </w:rPr>
        <w:t>本院认为，被告人马文作为信用卡的持有人，以非法占有为目的，明知没有还款能力却仍超过规定的期限透支消费，并且经发卡银行多次催收后超过三个月仍不归还，属于恶意透支，数额较大，破坏了金融管理秩序，其行为已</w:t>
      </w:r>
      <w:r>
        <w:rPr>
          <w:rFonts w:hint="eastAsia" w:eastAsia="仿宋_GB2312" w:cs="仿宋_GB2312"/>
          <w:sz w:val="32"/>
          <w:szCs w:val="32"/>
        </w:rPr>
        <w:t>构成</w:t>
      </w:r>
      <w:r>
        <w:rPr>
          <w:rFonts w:hint="eastAsia" w:ascii="仿宋_GB2312" w:hAnsi="MS Sans Serif" w:eastAsia="仿宋_GB2312" w:cs="仿宋_GB2312"/>
          <w:kern w:val="0"/>
          <w:sz w:val="32"/>
          <w:szCs w:val="32"/>
        </w:rPr>
        <w:t>信用卡诈骗罪。</w:t>
      </w:r>
      <w:r>
        <w:rPr>
          <w:rFonts w:hint="eastAsia" w:eastAsia="仿宋_GB2312" w:cs="仿宋_GB2312"/>
          <w:sz w:val="32"/>
          <w:szCs w:val="32"/>
        </w:rPr>
        <w:t>公诉机关指控被告人马文</w:t>
      </w:r>
      <w:r>
        <w:rPr>
          <w:rFonts w:hint="eastAsia" w:ascii="仿宋_GB2312" w:hAnsi="MS Sans Serif" w:eastAsia="仿宋_GB2312" w:cs="仿宋_GB2312"/>
          <w:kern w:val="0"/>
          <w:sz w:val="32"/>
          <w:szCs w:val="32"/>
        </w:rPr>
        <w:t>犯信用卡诈骗罪的罪名成立，本院予以支持</w:t>
      </w:r>
      <w:r>
        <w:rPr>
          <w:rFonts w:hint="eastAsia" w:eastAsia="仿宋_GB2312" w:cs="仿宋_GB2312"/>
          <w:sz w:val="32"/>
          <w:szCs w:val="32"/>
        </w:rPr>
        <w:t>。</w:t>
      </w:r>
      <w:r>
        <w:rPr>
          <w:rFonts w:hint="eastAsia" w:ascii="仿宋_GB2312" w:hAnsi="MS Sans Serif" w:eastAsia="仿宋_GB2312" w:cs="仿宋_GB2312"/>
          <w:kern w:val="0"/>
          <w:sz w:val="32"/>
          <w:szCs w:val="32"/>
        </w:rPr>
        <w:t>被告人马文经公安机关口头传唤后自动投案，如实供述自己的罪行，是自首，可以从轻处罚。马文归案后认罪态度较好，且</w:t>
      </w:r>
      <w:r>
        <w:rPr>
          <w:rFonts w:hint="eastAsia" w:ascii="仿宋_GB2312" w:eastAsia="仿宋_GB2312" w:cs="仿宋_GB2312"/>
          <w:sz w:val="32"/>
          <w:szCs w:val="32"/>
        </w:rPr>
        <w:t>偿还了透支的本金，有悔罪表现，</w:t>
      </w:r>
      <w:r>
        <w:rPr>
          <w:rFonts w:hint="eastAsia" w:ascii="仿宋_GB2312" w:hAnsi="MS Sans Serif" w:eastAsia="仿宋_GB2312" w:cs="仿宋_GB2312"/>
          <w:kern w:val="0"/>
          <w:sz w:val="32"/>
          <w:szCs w:val="32"/>
        </w:rPr>
        <w:t>均可酌情从轻处罚。据此，依照《中华人民共和国刑法》第一百九十六条第一款第（四）项、第二款、第六十七条第一款、第七十二条第一款</w:t>
      </w:r>
      <w:r>
        <w:rPr>
          <w:rFonts w:hint="eastAsia" w:ascii="仿宋_GB2312" w:eastAsia="仿宋_GB2312" w:cs="仿宋_GB2312"/>
          <w:sz w:val="32"/>
          <w:szCs w:val="32"/>
        </w:rPr>
        <w:t>、第三款、</w:t>
      </w:r>
      <w:r>
        <w:rPr>
          <w:rFonts w:hint="eastAsia" w:ascii="仿宋_GB2312" w:hAnsi="MS Sans Serif" w:eastAsia="仿宋_GB2312" w:cs="仿宋_GB2312"/>
          <w:kern w:val="0"/>
          <w:sz w:val="32"/>
          <w:szCs w:val="32"/>
        </w:rPr>
        <w:t>第七十三条第二款、第三款及</w:t>
      </w:r>
      <w:r>
        <w:rPr>
          <w:rFonts w:hint="eastAsia" w:eastAsia="仿宋_GB2312" w:cs="仿宋_GB2312"/>
          <w:sz w:val="32"/>
          <w:szCs w:val="32"/>
        </w:rPr>
        <w:t>《最高人民法院、最高人民检察院&lt;关于办理妨害信用卡管理刑事案件具体应用法律若干问题的解释&gt;》</w:t>
      </w:r>
      <w:r>
        <w:rPr>
          <w:rFonts w:hint="eastAsia" w:ascii="仿宋_GB2312" w:hAnsi="MS Sans Serif" w:eastAsia="仿宋_GB2312" w:cs="仿宋_GB2312"/>
          <w:kern w:val="0"/>
          <w:sz w:val="32"/>
          <w:szCs w:val="32"/>
        </w:rPr>
        <w:t>第六条之规定，判决如下：</w:t>
      </w:r>
    </w:p>
    <w:p>
      <w:pPr>
        <w:autoSpaceDE w:val="0"/>
        <w:autoSpaceDN w:val="0"/>
        <w:adjustRightInd w:val="0"/>
        <w:spacing w:line="520" w:lineRule="exact"/>
        <w:ind w:firstLine="640" w:firstLineChars="200"/>
        <w:jc w:val="left"/>
        <w:rPr>
          <w:rFonts w:hint="eastAsia" w:eastAsia="仿宋_GB2312" w:cs="仿宋_GB2312"/>
          <w:sz w:val="32"/>
          <w:szCs w:val="32"/>
        </w:rPr>
      </w:pPr>
      <w:r>
        <w:rPr>
          <w:rFonts w:hint="eastAsia" w:ascii="仿宋_GB2312" w:hAnsi="MS Sans Serif" w:eastAsia="仿宋_GB2312" w:cs="仿宋_GB2312"/>
          <w:kern w:val="0"/>
          <w:sz w:val="32"/>
          <w:szCs w:val="32"/>
        </w:rPr>
        <w:t>被告人马文犯信用卡诈骗罪，判处有期徒刑一年，缓刑一年，并处罚金人民币2</w:t>
      </w:r>
      <w:r>
        <w:rPr>
          <w:rFonts w:ascii="仿宋_GB2312" w:hAnsi="MS Sans Serif" w:eastAsia="仿宋_GB2312" w:cs="仿宋_GB2312"/>
          <w:kern w:val="0"/>
          <w:sz w:val="32"/>
          <w:szCs w:val="32"/>
        </w:rPr>
        <w:t>0000</w:t>
      </w:r>
      <w:r>
        <w:rPr>
          <w:rFonts w:hint="eastAsia" w:ascii="仿宋_GB2312" w:hAnsi="MS Sans Serif" w:eastAsia="仿宋_GB2312" w:cs="仿宋_GB2312"/>
          <w:kern w:val="0"/>
          <w:sz w:val="32"/>
          <w:szCs w:val="32"/>
        </w:rPr>
        <w:t>元。</w:t>
      </w:r>
    </w:p>
    <w:p>
      <w:pPr>
        <w:spacing w:line="520" w:lineRule="exact"/>
        <w:ind w:firstLine="640" w:firstLineChars="200"/>
        <w:rPr>
          <w:rFonts w:ascii="仿宋_GB2312" w:eastAsia="仿宋_GB2312"/>
          <w:kern w:val="0"/>
          <w:sz w:val="32"/>
          <w:szCs w:val="32"/>
        </w:rPr>
      </w:pPr>
      <w:r>
        <w:rPr>
          <w:rFonts w:hint="eastAsia" w:ascii="仿宋_GB2312" w:hAnsi="MS Sans Serif" w:eastAsia="仿宋_GB2312" w:cs="仿宋_GB2312"/>
          <w:kern w:val="0"/>
          <w:sz w:val="32"/>
          <w:szCs w:val="32"/>
        </w:rPr>
        <w:t>（缓刑考验期限从判决确定之日起计算。罚金自判决生效后付清。）</w:t>
      </w:r>
    </w:p>
    <w:p>
      <w:pPr>
        <w:autoSpaceDE w:val="0"/>
        <w:autoSpaceDN w:val="0"/>
        <w:adjustRightInd w:val="0"/>
        <w:spacing w:line="520" w:lineRule="exact"/>
        <w:jc w:val="left"/>
        <w:rPr>
          <w:rFonts w:ascii="仿宋_GB2312" w:hAnsi="MS Sans Serif" w:eastAsia="仿宋_GB2312"/>
          <w:kern w:val="0"/>
          <w:sz w:val="32"/>
          <w:szCs w:val="32"/>
        </w:rPr>
      </w:pP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如不服本判决，可在接到本判决书的第二日起十日内，通过本院或者直接向天津市第一中级人民法院提出上诉。书面上诉的，应提交上诉状正本一份，副本二份。</w:t>
      </w:r>
    </w:p>
    <w:p>
      <w:pPr>
        <w:autoSpaceDE w:val="0"/>
        <w:autoSpaceDN w:val="0"/>
        <w:adjustRightInd w:val="0"/>
        <w:spacing w:line="520" w:lineRule="exact"/>
        <w:ind w:right="640" w:firstLine="5120" w:firstLineChars="1600"/>
        <w:rPr>
          <w:rFonts w:ascii="仿宋_GB2312" w:hAnsi="MS Sans Serif" w:eastAsia="仿宋_GB2312"/>
          <w:kern w:val="0"/>
          <w:sz w:val="32"/>
          <w:szCs w:val="32"/>
        </w:rPr>
      </w:pPr>
    </w:p>
    <w:p>
      <w:pPr>
        <w:autoSpaceDE w:val="0"/>
        <w:autoSpaceDN w:val="0"/>
        <w:adjustRightInd w:val="0"/>
        <w:spacing w:line="520" w:lineRule="exact"/>
        <w:ind w:right="640" w:firstLine="5120" w:firstLineChars="1600"/>
        <w:rPr>
          <w:rFonts w:hint="eastAsia" w:ascii="仿宋_GB2312" w:hAnsi="MS Sans Serif" w:eastAsia="仿宋_GB2312"/>
          <w:kern w:val="0"/>
          <w:sz w:val="32"/>
          <w:szCs w:val="32"/>
        </w:rPr>
      </w:pPr>
    </w:p>
    <w:p>
      <w:pPr>
        <w:autoSpaceDE w:val="0"/>
        <w:autoSpaceDN w:val="0"/>
        <w:adjustRightInd w:val="0"/>
        <w:spacing w:line="520" w:lineRule="exact"/>
        <w:ind w:right="640" w:firstLine="5120" w:firstLineChars="1600"/>
        <w:rPr>
          <w:rFonts w:hint="eastAsia" w:ascii="仿宋_GB2312" w:hAnsi="MS Sans Serif" w:eastAsia="仿宋_GB2312"/>
          <w:kern w:val="0"/>
          <w:sz w:val="32"/>
          <w:szCs w:val="32"/>
        </w:rPr>
      </w:pPr>
    </w:p>
    <w:p>
      <w:pPr>
        <w:autoSpaceDE w:val="0"/>
        <w:autoSpaceDN w:val="0"/>
        <w:adjustRightInd w:val="0"/>
        <w:spacing w:line="520" w:lineRule="exact"/>
        <w:ind w:right="640" w:firstLine="5120" w:firstLineChars="1600"/>
        <w:rPr>
          <w:rFonts w:hint="eastAsia" w:ascii="仿宋_GB2312" w:hAnsi="MS Sans Serif" w:eastAsia="仿宋_GB2312"/>
          <w:kern w:val="0"/>
          <w:sz w:val="32"/>
          <w:szCs w:val="32"/>
        </w:rPr>
      </w:pPr>
    </w:p>
    <w:p>
      <w:pPr>
        <w:autoSpaceDE w:val="0"/>
        <w:autoSpaceDN w:val="0"/>
        <w:adjustRightInd w:val="0"/>
        <w:spacing w:line="520" w:lineRule="exact"/>
        <w:ind w:right="640" w:firstLine="5120" w:firstLineChars="1600"/>
        <w:rPr>
          <w:rFonts w:hint="eastAsia" w:ascii="仿宋_GB2312" w:hAnsi="MS Sans Serif" w:eastAsia="仿宋_GB2312"/>
          <w:kern w:val="0"/>
          <w:sz w:val="32"/>
          <w:szCs w:val="32"/>
        </w:rPr>
      </w:pPr>
    </w:p>
    <w:p>
      <w:pPr>
        <w:autoSpaceDE w:val="0"/>
        <w:autoSpaceDN w:val="0"/>
        <w:adjustRightInd w:val="0"/>
        <w:spacing w:line="520" w:lineRule="exact"/>
        <w:ind w:right="640" w:firstLine="5120" w:firstLineChars="1600"/>
        <w:rPr>
          <w:rFonts w:hint="eastAsia" w:ascii="仿宋_GB2312" w:hAnsi="MS Sans Serif" w:eastAsia="仿宋_GB2312"/>
          <w:kern w:val="0"/>
          <w:sz w:val="32"/>
          <w:szCs w:val="32"/>
        </w:rPr>
      </w:pPr>
    </w:p>
    <w:p>
      <w:pPr>
        <w:autoSpaceDE w:val="0"/>
        <w:autoSpaceDN w:val="0"/>
        <w:adjustRightInd w:val="0"/>
        <w:spacing w:line="520" w:lineRule="exact"/>
        <w:ind w:right="640" w:firstLine="5120" w:firstLineChars="1600"/>
        <w:rPr>
          <w:rFonts w:hint="eastAsia" w:ascii="仿宋_GB2312" w:hAnsi="MS Sans Serif" w:eastAsia="仿宋_GB2312"/>
          <w:kern w:val="0"/>
          <w:sz w:val="32"/>
          <w:szCs w:val="32"/>
        </w:rPr>
      </w:pPr>
    </w:p>
    <w:p>
      <w:pPr>
        <w:autoSpaceDE w:val="0"/>
        <w:autoSpaceDN w:val="0"/>
        <w:adjustRightInd w:val="0"/>
        <w:spacing w:line="520" w:lineRule="exact"/>
        <w:ind w:right="640" w:firstLine="5120" w:firstLineChars="1600"/>
        <w:rPr>
          <w:rFonts w:hint="eastAsia" w:ascii="仿宋_GB2312" w:hAnsi="MS Sans Serif" w:eastAsia="仿宋_GB2312"/>
          <w:kern w:val="0"/>
          <w:sz w:val="32"/>
          <w:szCs w:val="32"/>
        </w:rPr>
      </w:pPr>
    </w:p>
    <w:p>
      <w:pPr>
        <w:autoSpaceDE w:val="0"/>
        <w:autoSpaceDN w:val="0"/>
        <w:adjustRightInd w:val="0"/>
        <w:spacing w:line="520" w:lineRule="exact"/>
        <w:ind w:right="640" w:firstLine="5120" w:firstLineChars="1600"/>
        <w:rPr>
          <w:rFonts w:hint="eastAsia" w:ascii="仿宋_GB2312" w:hAnsi="MS Sans Serif" w:eastAsia="仿宋_GB2312"/>
          <w:kern w:val="0"/>
          <w:sz w:val="32"/>
          <w:szCs w:val="32"/>
        </w:rPr>
      </w:pPr>
    </w:p>
    <w:p>
      <w:pPr>
        <w:autoSpaceDE w:val="0"/>
        <w:autoSpaceDN w:val="0"/>
        <w:adjustRightInd w:val="0"/>
        <w:spacing w:line="520" w:lineRule="exact"/>
        <w:ind w:left="160" w:leftChars="76" w:right="283" w:firstLine="5440" w:firstLineChars="1700"/>
        <w:rPr>
          <w:rFonts w:hint="eastAsia" w:ascii="仿宋_GB2312" w:hAnsi="MS Sans Serif" w:eastAsia="仿宋_GB2312"/>
          <w:kern w:val="0"/>
          <w:sz w:val="32"/>
          <w:szCs w:val="32"/>
        </w:rPr>
      </w:pPr>
      <w:r>
        <w:rPr>
          <w:rFonts w:hint="eastAsia" w:ascii="仿宋_GB2312" w:hAnsi="MS Sans Serif" w:eastAsia="仿宋_GB2312" w:cs="仿宋_GB2312"/>
          <w:kern w:val="0"/>
          <w:sz w:val="32"/>
          <w:szCs w:val="32"/>
        </w:rPr>
        <w:t>代理审判员  邢  莉</w:t>
      </w:r>
    </w:p>
    <w:p>
      <w:pPr>
        <w:autoSpaceDE w:val="0"/>
        <w:autoSpaceDN w:val="0"/>
        <w:adjustRightInd w:val="0"/>
        <w:spacing w:line="520" w:lineRule="exact"/>
        <w:jc w:val="right"/>
        <w:rPr>
          <w:rFonts w:ascii="仿宋_GB2312" w:hAnsi="MS Sans Serif" w:eastAsia="仿宋_GB2312"/>
          <w:kern w:val="0"/>
          <w:sz w:val="32"/>
          <w:szCs w:val="32"/>
        </w:rPr>
      </w:pPr>
    </w:p>
    <w:p>
      <w:pPr>
        <w:wordWrap w:val="0"/>
        <w:autoSpaceDE w:val="0"/>
        <w:autoSpaceDN w:val="0"/>
        <w:adjustRightInd w:val="0"/>
        <w:spacing w:line="520" w:lineRule="exact"/>
        <w:ind w:right="320"/>
        <w:jc w:val="right"/>
        <w:rPr>
          <w:rFonts w:hint="eastAsia" w:ascii="仿宋_GB2312" w:hAnsi="MS Sans Serif" w:eastAsia="仿宋_GB2312" w:cs="仿宋_GB2312"/>
          <w:kern w:val="0"/>
          <w:sz w:val="32"/>
          <w:szCs w:val="32"/>
        </w:rPr>
      </w:pPr>
      <w:r>
        <w:rPr>
          <w:rFonts w:hint="eastAsia" w:ascii="仿宋_GB2312" w:hAnsi="MS Sans Serif" w:eastAsia="仿宋_GB2312" w:cs="仿宋_GB2312"/>
          <w:kern w:val="0"/>
          <w:sz w:val="32"/>
          <w:szCs w:val="32"/>
        </w:rPr>
        <w:t>二○一四年五月二十八日</w:t>
      </w:r>
    </w:p>
    <w:p>
      <w:pPr>
        <w:autoSpaceDE w:val="0"/>
        <w:autoSpaceDN w:val="0"/>
        <w:adjustRightInd w:val="0"/>
        <w:spacing w:line="520" w:lineRule="exact"/>
        <w:jc w:val="right"/>
        <w:rPr>
          <w:rFonts w:ascii="仿宋_GB2312" w:hAnsi="MS Sans Serif" w:eastAsia="仿宋_GB2312" w:cs="仿宋_GB2312"/>
          <w:kern w:val="0"/>
          <w:sz w:val="32"/>
          <w:szCs w:val="32"/>
        </w:rPr>
      </w:pPr>
      <w:r>
        <w:rPr>
          <w:rFonts w:ascii="仿宋_GB2312" w:hAnsi="MS Sans Serif" w:eastAsia="仿宋_GB2312" w:cs="仿宋_GB2312"/>
          <w:kern w:val="0"/>
          <w:sz w:val="32"/>
          <w:szCs w:val="32"/>
        </w:rPr>
        <w:t xml:space="preserve">   </w:t>
      </w:r>
    </w:p>
    <w:p>
      <w:pPr>
        <w:autoSpaceDE w:val="0"/>
        <w:autoSpaceDN w:val="0"/>
        <w:adjustRightInd w:val="0"/>
        <w:spacing w:line="520" w:lineRule="exact"/>
        <w:ind w:right="320" w:firstLine="5120" w:firstLineChars="1600"/>
        <w:jc w:val="right"/>
        <w:rPr>
          <w:rFonts w:ascii="仿宋_GB2312" w:hAnsi="MS Sans Serif" w:eastAsia="仿宋_GB2312"/>
          <w:kern w:val="0"/>
          <w:sz w:val="32"/>
          <w:szCs w:val="32"/>
        </w:rPr>
      </w:pPr>
      <w:r>
        <w:rPr>
          <w:rFonts w:hint="eastAsia" w:ascii="仿宋_GB2312" w:hAnsi="MS Sans Serif" w:eastAsia="仿宋_GB2312" w:cs="仿宋_GB2312"/>
          <w:kern w:val="0"/>
          <w:sz w:val="32"/>
          <w:szCs w:val="32"/>
        </w:rPr>
        <w:t>书</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记</w:t>
      </w:r>
      <w:r>
        <w:rPr>
          <w:rFonts w:ascii="仿宋_GB2312" w:hAnsi="MS Sans Serif" w:eastAsia="仿宋_GB2312" w:cs="仿宋_GB2312"/>
          <w:kern w:val="0"/>
          <w:sz w:val="32"/>
          <w:szCs w:val="32"/>
        </w:rPr>
        <w:t xml:space="preserve">  </w:t>
      </w:r>
      <w:r>
        <w:rPr>
          <w:rFonts w:hint="eastAsia" w:ascii="仿宋_GB2312" w:hAnsi="MS Sans Serif" w:eastAsia="仿宋_GB2312" w:cs="仿宋_GB2312"/>
          <w:kern w:val="0"/>
          <w:sz w:val="32"/>
          <w:szCs w:val="32"/>
        </w:rPr>
        <w:t>员  王月莹</w:t>
      </w:r>
    </w:p>
    <w:p>
      <w:pPr>
        <w:autoSpaceDE w:val="0"/>
        <w:autoSpaceDN w:val="0"/>
        <w:adjustRightInd w:val="0"/>
        <w:spacing w:line="520" w:lineRule="exact"/>
        <w:jc w:val="left"/>
        <w:rPr>
          <w:rFonts w:ascii="仿宋_GB2312" w:hAnsi="MS Sans Serif" w:eastAsia="仿宋_GB2312"/>
          <w:kern w:val="0"/>
          <w:sz w:val="32"/>
          <w:szCs w:val="32"/>
        </w:rPr>
      </w:pPr>
    </w:p>
    <w:p>
      <w:pPr>
        <w:autoSpaceDE w:val="0"/>
        <w:autoSpaceDN w:val="0"/>
        <w:adjustRightInd w:val="0"/>
        <w:spacing w:line="520" w:lineRule="exact"/>
        <w:ind w:right="640" w:firstLine="5120" w:firstLineChars="1600"/>
        <w:rPr>
          <w:rFonts w:hint="eastAsia" w:ascii="仿宋_GB2312" w:hAnsi="MS Sans Serif" w:eastAsia="仿宋_GB2312"/>
          <w:kern w:val="0"/>
          <w:sz w:val="32"/>
          <w:szCs w:val="32"/>
        </w:rPr>
      </w:pPr>
    </w:p>
    <w:p>
      <w:pPr>
        <w:autoSpaceDE w:val="0"/>
        <w:autoSpaceDN w:val="0"/>
        <w:adjustRightInd w:val="0"/>
        <w:spacing w:line="520" w:lineRule="exact"/>
        <w:ind w:right="640" w:firstLine="5120" w:firstLineChars="1600"/>
        <w:rPr>
          <w:rFonts w:hint="eastAsia" w:ascii="仿宋_GB2312" w:hAnsi="MS Sans Serif" w:eastAsia="仿宋_GB2312"/>
          <w:kern w:val="0"/>
          <w:sz w:val="32"/>
          <w:szCs w:val="32"/>
        </w:rPr>
      </w:pPr>
    </w:p>
    <w:p>
      <w:pPr>
        <w:autoSpaceDE w:val="0"/>
        <w:autoSpaceDN w:val="0"/>
        <w:adjustRightInd w:val="0"/>
        <w:spacing w:line="520" w:lineRule="exact"/>
        <w:ind w:right="640"/>
        <w:jc w:val="center"/>
        <w:rPr>
          <w:rFonts w:ascii="仿宋_GB2312" w:hAnsi="MS Sans Serif" w:eastAsia="仿宋_GB2312"/>
          <w:kern w:val="0"/>
          <w:sz w:val="32"/>
          <w:szCs w:val="32"/>
        </w:rPr>
      </w:pPr>
      <w:r>
        <w:rPr>
          <w:rFonts w:ascii="仿宋_GB2312" w:hAnsi="MS Sans Serif" w:eastAsia="仿宋_GB2312" w:cs="仿宋_GB2312"/>
          <w:kern w:val="0"/>
          <w:sz w:val="32"/>
          <w:szCs w:val="32"/>
        </w:rPr>
        <w:t xml:space="preserve">                          </w:t>
      </w:r>
    </w:p>
    <w:p>
      <w:pPr>
        <w:autoSpaceDE w:val="0"/>
        <w:autoSpaceDN w:val="0"/>
        <w:adjustRightInd w:val="0"/>
        <w:spacing w:line="520" w:lineRule="exact"/>
        <w:ind w:right="640"/>
        <w:rPr>
          <w:rFonts w:hint="eastAsia" w:ascii="仿宋_GB2312" w:hAnsi="MS Sans Serif" w:eastAsia="仿宋_GB2312" w:cs="仿宋_GB2312"/>
          <w:b/>
          <w:kern w:val="0"/>
          <w:sz w:val="32"/>
          <w:szCs w:val="32"/>
        </w:rPr>
      </w:pPr>
      <w:r>
        <w:rPr>
          <w:rFonts w:hint="eastAsia" w:ascii="仿宋_GB2312" w:hAnsi="MS Sans Serif" w:eastAsia="仿宋_GB2312" w:cs="仿宋_GB2312"/>
          <w:b/>
          <w:kern w:val="0"/>
          <w:sz w:val="32"/>
          <w:szCs w:val="32"/>
        </w:rPr>
        <w:t xml:space="preserve">附：本裁判文书适用的法律条文 </w:t>
      </w:r>
    </w:p>
    <w:p>
      <w:pPr>
        <w:autoSpaceDE w:val="0"/>
        <w:autoSpaceDN w:val="0"/>
        <w:adjustRightInd w:val="0"/>
        <w:spacing w:line="520" w:lineRule="exact"/>
        <w:ind w:firstLine="641" w:firstLineChars="200"/>
        <w:rPr>
          <w:rFonts w:hint="eastAsia" w:ascii="仿宋_GB2312" w:eastAsia="仿宋_GB2312"/>
          <w:b/>
          <w:kern w:val="0"/>
          <w:sz w:val="32"/>
        </w:rPr>
      </w:pPr>
      <w:r>
        <w:rPr>
          <w:rFonts w:hint="eastAsia" w:ascii="仿宋_GB2312" w:eastAsia="仿宋_GB2312"/>
          <w:b/>
          <w:kern w:val="0"/>
          <w:sz w:val="32"/>
        </w:rPr>
        <w:t>一、《中华人民共和国刑法》</w:t>
      </w:r>
    </w:p>
    <w:p>
      <w:pPr>
        <w:widowControl/>
        <w:spacing w:line="520" w:lineRule="exact"/>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　　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widowControl/>
        <w:spacing w:line="520" w:lineRule="exact"/>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　　(一)使用伪造的信用卡，或者使用以虚假的身份证明骗领的信用卡的;</w:t>
      </w:r>
    </w:p>
    <w:p>
      <w:pPr>
        <w:widowControl/>
        <w:spacing w:line="520" w:lineRule="exact"/>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　　(二)使用作废的信用卡的;</w:t>
      </w:r>
    </w:p>
    <w:p>
      <w:pPr>
        <w:widowControl/>
        <w:spacing w:line="520" w:lineRule="exact"/>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　　(三)冒用他人信用卡的;</w:t>
      </w:r>
    </w:p>
    <w:p>
      <w:pPr>
        <w:widowControl/>
        <w:spacing w:line="520" w:lineRule="exact"/>
        <w:ind w:firstLine="645"/>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(四)恶意透支的。</w:t>
      </w:r>
    </w:p>
    <w:p>
      <w:pPr>
        <w:widowControl/>
        <w:spacing w:line="520" w:lineRule="exact"/>
        <w:ind w:firstLine="645"/>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前款所称恶意透支，是指持卡人以非法占有为目的，超过规定限额或者规定期限透支，并且经发卡银行催收后仍不归还的行为。</w:t>
      </w:r>
    </w:p>
    <w:p>
      <w:pPr>
        <w:widowControl/>
        <w:spacing w:line="520" w:lineRule="exact"/>
        <w:ind w:firstLine="645"/>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盗窃信用卡并使用的，依照本法第二百六十四条的规定定罪处罚。</w:t>
      </w:r>
    </w:p>
    <w:p>
      <w:pPr>
        <w:widowControl/>
        <w:spacing w:line="520" w:lineRule="exact"/>
        <w:jc w:val="left"/>
        <w:rPr>
          <w:rFonts w:hint="eastAsia" w:ascii="仿宋_GB2312" w:hAnsi="Arial" w:eastAsia="仿宋_GB2312" w:cs="Arial"/>
          <w:kern w:val="0"/>
          <w:sz w:val="32"/>
          <w:szCs w:val="32"/>
        </w:rPr>
      </w:pPr>
      <w:r>
        <w:rPr>
          <w:rFonts w:hint="eastAsia" w:ascii="仿宋_GB2312" w:hAnsi="Arial" w:eastAsia="仿宋_GB2312" w:cs="Arial"/>
          <w:b/>
          <w:bCs/>
          <w:color w:val="054E93"/>
          <w:kern w:val="0"/>
          <w:sz w:val="32"/>
          <w:szCs w:val="32"/>
        </w:rPr>
        <w:t>　　</w:t>
      </w:r>
      <w:r>
        <w:rPr>
          <w:rFonts w:hint="eastAsia" w:ascii="仿宋_GB2312" w:hAnsi="Arial" w:eastAsia="仿宋_GB2312" w:cs="Arial"/>
          <w:kern w:val="0"/>
          <w:sz w:val="32"/>
          <w:szCs w:val="32"/>
        </w:rPr>
        <w:t>第六十七条  犯罪以后自动投案，如实供述自己的罪行的，是自首。对于自首的犯罪分子，可以从轻或者减轻处罚。其中，犯罪较轻的，可以免除处罚。</w:t>
      </w:r>
    </w:p>
    <w:p>
      <w:pPr>
        <w:widowControl/>
        <w:spacing w:line="520" w:lineRule="exact"/>
        <w:ind w:firstLine="645"/>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被采取强制措施的犯罪嫌疑人、被告人和正在服刑的罪犯，如实供述司法机关还未掌握的本人其他罪行的，以自首论。</w:t>
      </w:r>
    </w:p>
    <w:p>
      <w:pPr>
        <w:widowControl/>
        <w:spacing w:line="520" w:lineRule="exact"/>
        <w:ind w:firstLine="645"/>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犯罪嫌疑人虽不具有前两款规定的自首情节，但是如实供述自己罪行的，可以从轻处罚;因其如实供述自己罪行，避免特别严重后果发生的，可以减轻处罚。</w:t>
      </w:r>
    </w:p>
    <w:p>
      <w:pPr>
        <w:widowControl/>
        <w:spacing w:line="520" w:lineRule="exact"/>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　　第七十二条  对于被判处拘役、三年以下有期徒刑的犯罪分子，同时符合下列条件的，可以宣告缓刑，对其中不满十八周岁的人、怀孕的妇女和已满七十五周岁的人，应当宣告缓刑：</w:t>
      </w:r>
    </w:p>
    <w:p>
      <w:pPr>
        <w:widowControl/>
        <w:spacing w:line="520" w:lineRule="exact"/>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　　(一)犯罪情节较轻;</w:t>
      </w:r>
    </w:p>
    <w:p>
      <w:pPr>
        <w:widowControl/>
        <w:spacing w:line="520" w:lineRule="exact"/>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　　(二)有悔罪表现;</w:t>
      </w:r>
    </w:p>
    <w:p>
      <w:pPr>
        <w:widowControl/>
        <w:spacing w:line="520" w:lineRule="exact"/>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　　(三)没有再犯罪的危险;</w:t>
      </w:r>
    </w:p>
    <w:p>
      <w:pPr>
        <w:widowControl/>
        <w:spacing w:line="520" w:lineRule="exact"/>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　　(四)宣告缓刑对所居住社区没有重大不良影响。</w:t>
      </w:r>
    </w:p>
    <w:p>
      <w:pPr>
        <w:widowControl/>
        <w:spacing w:line="520" w:lineRule="exact"/>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　　宣告缓刑，可以根据犯罪情况，同时禁止犯罪分子在缓刑考验期限内从事特定活动，进入特定区域、场所，接触特定的人。</w:t>
      </w:r>
    </w:p>
    <w:p>
      <w:pPr>
        <w:widowControl/>
        <w:spacing w:line="520" w:lineRule="exact"/>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　　被宣告缓刑的犯罪分子，如果被判处附加刑，附加刑仍须执行。</w:t>
      </w:r>
    </w:p>
    <w:p>
      <w:pPr>
        <w:widowControl/>
        <w:spacing w:line="520" w:lineRule="exact"/>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　　第七十三条  拘役的缓刑考验期限为原判刑期以上一年以下，但是不能少于二个月。</w:t>
      </w:r>
    </w:p>
    <w:p>
      <w:pPr>
        <w:widowControl/>
        <w:spacing w:line="520" w:lineRule="exact"/>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　　有期徒刑的缓刑考验期限为原判刑期以上五年以下，但是不能少于一年。</w:t>
      </w:r>
    </w:p>
    <w:p>
      <w:pPr>
        <w:widowControl/>
        <w:spacing w:line="520" w:lineRule="exact"/>
        <w:jc w:val="left"/>
        <w:rPr>
          <w:rFonts w:hint="eastAsia" w:ascii="仿宋_GB2312" w:hAnsi="Arial" w:eastAsia="仿宋_GB2312" w:cs="Arial"/>
          <w:kern w:val="0"/>
          <w:sz w:val="32"/>
          <w:szCs w:val="32"/>
        </w:rPr>
      </w:pPr>
      <w:r>
        <w:rPr>
          <w:rFonts w:hint="eastAsia" w:ascii="仿宋_GB2312" w:hAnsi="Arial" w:eastAsia="仿宋_GB2312" w:cs="Arial"/>
          <w:kern w:val="0"/>
          <w:sz w:val="32"/>
          <w:szCs w:val="32"/>
        </w:rPr>
        <w:t>　　缓刑考验期限，从判决确定之日起计算。</w:t>
      </w:r>
    </w:p>
    <w:p>
      <w:pPr>
        <w:autoSpaceDE w:val="0"/>
        <w:autoSpaceDN w:val="0"/>
        <w:adjustRightInd w:val="0"/>
        <w:spacing w:line="520" w:lineRule="exact"/>
        <w:ind w:firstLine="641" w:firstLineChars="200"/>
        <w:rPr>
          <w:rFonts w:hint="eastAsia" w:ascii="仿宋_GB2312" w:eastAsia="仿宋_GB2312"/>
          <w:b/>
          <w:kern w:val="0"/>
          <w:sz w:val="32"/>
        </w:rPr>
      </w:pPr>
      <w:r>
        <w:rPr>
          <w:rFonts w:hint="eastAsia" w:ascii="仿宋_GB2312" w:eastAsia="仿宋_GB2312"/>
          <w:b/>
          <w:kern w:val="0"/>
          <w:sz w:val="32"/>
        </w:rPr>
        <w:t>二、《最高人民法院、最高人民检察院&lt;关于办理妨害信用卡管理刑事案件具体应用法律若干问题的解释&gt;》</w:t>
      </w:r>
    </w:p>
    <w:p>
      <w:pPr>
        <w:autoSpaceDE w:val="0"/>
        <w:autoSpaceDN w:val="0"/>
        <w:adjustRightInd w:val="0"/>
        <w:spacing w:line="520" w:lineRule="exact"/>
        <w:rPr>
          <w:rFonts w:hint="eastAsia" w:ascii="仿宋_GB2312" w:eastAsia="仿宋_GB2312"/>
          <w:kern w:val="0"/>
          <w:sz w:val="32"/>
        </w:rPr>
      </w:pPr>
      <w:r>
        <w:rPr>
          <w:rFonts w:hint="eastAsia" w:ascii="仿宋_GB2312" w:eastAsia="仿宋_GB2312"/>
          <w:kern w:val="0"/>
          <w:sz w:val="32"/>
        </w:rPr>
        <w:t>　　第六条　持卡人以非法占有为目的，超过规定限额或者规定期限透支，并且经发卡银行两次催收后超过3个月仍不归还的，应当认定为刑法第一百九十六条规定的“恶意透支”。</w:t>
      </w:r>
    </w:p>
    <w:p>
      <w:pPr>
        <w:autoSpaceDE w:val="0"/>
        <w:autoSpaceDN w:val="0"/>
        <w:adjustRightInd w:val="0"/>
        <w:spacing w:line="520" w:lineRule="exact"/>
        <w:rPr>
          <w:rFonts w:hint="eastAsia" w:ascii="仿宋_GB2312" w:eastAsia="仿宋_GB2312"/>
          <w:kern w:val="0"/>
          <w:sz w:val="32"/>
        </w:rPr>
      </w:pPr>
      <w:r>
        <w:rPr>
          <w:rFonts w:hint="eastAsia" w:ascii="仿宋_GB2312" w:eastAsia="仿宋_GB2312"/>
          <w:kern w:val="0"/>
          <w:sz w:val="32"/>
        </w:rPr>
        <w:t>　　有以下情形之一的，应当认定为刑法第一百九十六条第二款规定的“以非法占有为目的”：</w:t>
      </w:r>
    </w:p>
    <w:p>
      <w:pPr>
        <w:autoSpaceDE w:val="0"/>
        <w:autoSpaceDN w:val="0"/>
        <w:adjustRightInd w:val="0"/>
        <w:spacing w:line="520" w:lineRule="exact"/>
        <w:rPr>
          <w:rFonts w:hint="eastAsia" w:ascii="仿宋_GB2312" w:eastAsia="仿宋_GB2312"/>
          <w:kern w:val="0"/>
          <w:sz w:val="32"/>
        </w:rPr>
      </w:pPr>
      <w:r>
        <w:rPr>
          <w:rFonts w:hint="eastAsia" w:ascii="仿宋_GB2312" w:eastAsia="仿宋_GB2312"/>
          <w:kern w:val="0"/>
          <w:sz w:val="32"/>
        </w:rPr>
        <w:t>　　（一）明知没有还款能力而大量透支，无法归还的；</w:t>
      </w:r>
    </w:p>
    <w:p>
      <w:pPr>
        <w:autoSpaceDE w:val="0"/>
        <w:autoSpaceDN w:val="0"/>
        <w:adjustRightInd w:val="0"/>
        <w:spacing w:line="520" w:lineRule="exact"/>
        <w:rPr>
          <w:rFonts w:hint="eastAsia" w:ascii="仿宋_GB2312" w:eastAsia="仿宋_GB2312"/>
          <w:kern w:val="0"/>
          <w:sz w:val="32"/>
        </w:rPr>
      </w:pPr>
      <w:r>
        <w:rPr>
          <w:rFonts w:hint="eastAsia" w:ascii="仿宋_GB2312" w:eastAsia="仿宋_GB2312"/>
          <w:kern w:val="0"/>
          <w:sz w:val="32"/>
        </w:rPr>
        <w:t>　　（二）肆意挥霍透支的资金，无法归还的；</w:t>
      </w:r>
    </w:p>
    <w:p>
      <w:pPr>
        <w:autoSpaceDE w:val="0"/>
        <w:autoSpaceDN w:val="0"/>
        <w:adjustRightInd w:val="0"/>
        <w:spacing w:line="520" w:lineRule="exact"/>
        <w:rPr>
          <w:rFonts w:hint="eastAsia" w:ascii="仿宋_GB2312" w:eastAsia="仿宋_GB2312"/>
          <w:kern w:val="0"/>
          <w:sz w:val="32"/>
        </w:rPr>
      </w:pPr>
      <w:r>
        <w:rPr>
          <w:rFonts w:hint="eastAsia" w:ascii="仿宋_GB2312" w:eastAsia="仿宋_GB2312"/>
          <w:kern w:val="0"/>
          <w:sz w:val="32"/>
        </w:rPr>
        <w:t>　　（三）透支后逃匿、改变联系方式，逃避银行催收的；</w:t>
      </w:r>
    </w:p>
    <w:p>
      <w:pPr>
        <w:autoSpaceDE w:val="0"/>
        <w:autoSpaceDN w:val="0"/>
        <w:adjustRightInd w:val="0"/>
        <w:spacing w:line="520" w:lineRule="exact"/>
        <w:rPr>
          <w:rFonts w:hint="eastAsia" w:ascii="仿宋_GB2312" w:eastAsia="仿宋_GB2312"/>
          <w:kern w:val="0"/>
          <w:sz w:val="32"/>
        </w:rPr>
      </w:pPr>
      <w:r>
        <w:rPr>
          <w:rFonts w:hint="eastAsia" w:ascii="仿宋_GB2312" w:eastAsia="仿宋_GB2312"/>
          <w:kern w:val="0"/>
          <w:sz w:val="32"/>
        </w:rPr>
        <w:t>　　（四）抽逃、转移资金，隐匿财产，逃避还款的；</w:t>
      </w:r>
    </w:p>
    <w:p>
      <w:pPr>
        <w:autoSpaceDE w:val="0"/>
        <w:autoSpaceDN w:val="0"/>
        <w:adjustRightInd w:val="0"/>
        <w:spacing w:line="520" w:lineRule="exact"/>
        <w:rPr>
          <w:rFonts w:hint="eastAsia" w:ascii="仿宋_GB2312" w:eastAsia="仿宋_GB2312"/>
          <w:kern w:val="0"/>
          <w:sz w:val="32"/>
        </w:rPr>
      </w:pPr>
      <w:r>
        <w:rPr>
          <w:rFonts w:hint="eastAsia" w:ascii="仿宋_GB2312" w:eastAsia="仿宋_GB2312"/>
          <w:kern w:val="0"/>
          <w:sz w:val="32"/>
        </w:rPr>
        <w:t>　　（五）使用透支的资金进行违法犯罪活动的；</w:t>
      </w:r>
    </w:p>
    <w:p>
      <w:pPr>
        <w:autoSpaceDE w:val="0"/>
        <w:autoSpaceDN w:val="0"/>
        <w:adjustRightInd w:val="0"/>
        <w:spacing w:line="520" w:lineRule="exact"/>
        <w:rPr>
          <w:rFonts w:hint="eastAsia" w:ascii="仿宋_GB2312" w:eastAsia="仿宋_GB2312"/>
          <w:kern w:val="0"/>
          <w:sz w:val="32"/>
        </w:rPr>
      </w:pPr>
      <w:r>
        <w:rPr>
          <w:rFonts w:hint="eastAsia" w:ascii="仿宋_GB2312" w:eastAsia="仿宋_GB2312"/>
          <w:kern w:val="0"/>
          <w:sz w:val="32"/>
        </w:rPr>
        <w:t>　　（六）其他非法占有资金，拒不归还的行为。</w:t>
      </w:r>
    </w:p>
    <w:p>
      <w:pPr>
        <w:autoSpaceDE w:val="0"/>
        <w:autoSpaceDN w:val="0"/>
        <w:adjustRightInd w:val="0"/>
        <w:spacing w:line="520" w:lineRule="exact"/>
        <w:rPr>
          <w:rFonts w:hint="eastAsia" w:ascii="仿宋_GB2312" w:eastAsia="仿宋_GB2312"/>
          <w:kern w:val="0"/>
          <w:sz w:val="32"/>
        </w:rPr>
      </w:pPr>
      <w:r>
        <w:rPr>
          <w:rFonts w:hint="eastAsia" w:ascii="仿宋_GB2312" w:eastAsia="仿宋_GB2312"/>
          <w:kern w:val="0"/>
          <w:sz w:val="32"/>
        </w:rPr>
        <w:t>　　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autoSpaceDE w:val="0"/>
        <w:autoSpaceDN w:val="0"/>
        <w:adjustRightInd w:val="0"/>
        <w:spacing w:line="520" w:lineRule="exact"/>
        <w:rPr>
          <w:rFonts w:hint="eastAsia" w:ascii="仿宋_GB2312" w:eastAsia="仿宋_GB2312"/>
          <w:kern w:val="0"/>
          <w:sz w:val="32"/>
        </w:rPr>
      </w:pPr>
      <w:r>
        <w:rPr>
          <w:rFonts w:hint="eastAsia" w:ascii="仿宋_GB2312" w:eastAsia="仿宋_GB2312"/>
          <w:kern w:val="0"/>
          <w:sz w:val="32"/>
        </w:rPr>
        <w:t>　　恶意透支的数额，是指在第一款规定的条件下持卡人拒不归还的数额或者尚未归还的数额。不包括复利、滞纳金、手续费等发卡银行收取的费用。</w:t>
      </w:r>
    </w:p>
    <w:p>
      <w:pPr>
        <w:autoSpaceDE w:val="0"/>
        <w:autoSpaceDN w:val="0"/>
        <w:adjustRightInd w:val="0"/>
        <w:spacing w:line="520" w:lineRule="exact"/>
        <w:rPr>
          <w:rFonts w:hint="eastAsia" w:ascii="仿宋_GB2312" w:eastAsia="仿宋_GB2312"/>
          <w:kern w:val="0"/>
          <w:sz w:val="32"/>
        </w:rPr>
      </w:pPr>
      <w:r>
        <w:rPr>
          <w:rFonts w:hint="eastAsia" w:ascii="仿宋_GB2312" w:eastAsia="仿宋_GB2312"/>
          <w:kern w:val="0"/>
          <w:sz w:val="32"/>
        </w:rPr>
        <w:t>　　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p>
      <w:pPr>
        <w:autoSpaceDE w:val="0"/>
        <w:autoSpaceDN w:val="0"/>
        <w:adjustRightInd w:val="0"/>
        <w:spacing w:line="520" w:lineRule="exact"/>
        <w:jc w:val="left"/>
        <w:rPr>
          <w:kern w:val="0"/>
        </w:rPr>
      </w:pPr>
    </w:p>
    <w:sectPr>
      <w:footerReference r:id="rId3" w:type="default"/>
      <w:pgSz w:w="11907" w:h="16840"/>
      <w:pgMar w:top="1701" w:right="1418" w:bottom="1701" w:left="1701" w:header="720" w:footer="1418" w:gutter="0"/>
      <w:cols w:space="720" w:num="1"/>
      <w:docGrid w:linePitch="286" w:charSpace="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6</w:t>
    </w:r>
    <w:r>
      <w:rPr>
        <w:rStyle w:val="5"/>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oNotHyphenateCaps/>
  <w:drawingGridHorizontalSpacing w:val="105"/>
  <w:drawingGridVerticalSpacing w:val="120"/>
  <w:displayHorizontalDrawingGridEvery w:val="0"/>
  <w:displayVerticalDrawingGridEvery w:val="3"/>
  <w:doNotShadeFormData w:val="1"/>
  <w:characterSpacingControl w:val="compressPunctuation"/>
  <w:noLineBreaksAfter w:lang="zh-CN" w:val="([{·‘“〈《「『【〔〖（．［｛"/>
  <w:noLineBreaksBefore w:lang="zh-CN" w:val="!),.:;?]}¨·ˇˉ—‖’”…∶、。〃々〉》」』】〕〗！＂＇），．：；？］｀～"/>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337DB"/>
    <w:rsid w:val="00014808"/>
    <w:rsid w:val="00042B95"/>
    <w:rsid w:val="00063638"/>
    <w:rsid w:val="00065153"/>
    <w:rsid w:val="000729CB"/>
    <w:rsid w:val="00074417"/>
    <w:rsid w:val="001034A6"/>
    <w:rsid w:val="0016763D"/>
    <w:rsid w:val="00204BC4"/>
    <w:rsid w:val="00250342"/>
    <w:rsid w:val="002E5247"/>
    <w:rsid w:val="002F0AE4"/>
    <w:rsid w:val="003033FE"/>
    <w:rsid w:val="00305AA7"/>
    <w:rsid w:val="0036022F"/>
    <w:rsid w:val="00363E71"/>
    <w:rsid w:val="003C5132"/>
    <w:rsid w:val="00406D8A"/>
    <w:rsid w:val="0044412C"/>
    <w:rsid w:val="004D27D7"/>
    <w:rsid w:val="004D5231"/>
    <w:rsid w:val="00540B17"/>
    <w:rsid w:val="00565CEA"/>
    <w:rsid w:val="00574B3B"/>
    <w:rsid w:val="005D6102"/>
    <w:rsid w:val="005E12C2"/>
    <w:rsid w:val="005F67D5"/>
    <w:rsid w:val="005F6C80"/>
    <w:rsid w:val="00631944"/>
    <w:rsid w:val="00633034"/>
    <w:rsid w:val="0064173C"/>
    <w:rsid w:val="006D2F24"/>
    <w:rsid w:val="00724A75"/>
    <w:rsid w:val="007A7FC3"/>
    <w:rsid w:val="007E20CB"/>
    <w:rsid w:val="007F7E01"/>
    <w:rsid w:val="008337DB"/>
    <w:rsid w:val="00833EF4"/>
    <w:rsid w:val="008435D0"/>
    <w:rsid w:val="00877C1F"/>
    <w:rsid w:val="0089506E"/>
    <w:rsid w:val="008D0AD7"/>
    <w:rsid w:val="008E143D"/>
    <w:rsid w:val="00900717"/>
    <w:rsid w:val="00902D2B"/>
    <w:rsid w:val="00903BE7"/>
    <w:rsid w:val="00922B11"/>
    <w:rsid w:val="00953F77"/>
    <w:rsid w:val="009B4FA9"/>
    <w:rsid w:val="009E5D0E"/>
    <w:rsid w:val="009F1567"/>
    <w:rsid w:val="009F5171"/>
    <w:rsid w:val="00A37BA7"/>
    <w:rsid w:val="00A66976"/>
    <w:rsid w:val="00A7443A"/>
    <w:rsid w:val="00A74C1C"/>
    <w:rsid w:val="00A85E19"/>
    <w:rsid w:val="00AB61E9"/>
    <w:rsid w:val="00AF3552"/>
    <w:rsid w:val="00B34955"/>
    <w:rsid w:val="00B5057C"/>
    <w:rsid w:val="00B57119"/>
    <w:rsid w:val="00BB6E2F"/>
    <w:rsid w:val="00BE10AE"/>
    <w:rsid w:val="00BF2F85"/>
    <w:rsid w:val="00C12A71"/>
    <w:rsid w:val="00C56275"/>
    <w:rsid w:val="00C67278"/>
    <w:rsid w:val="00CC0286"/>
    <w:rsid w:val="00CD74B1"/>
    <w:rsid w:val="00D02842"/>
    <w:rsid w:val="00D2304D"/>
    <w:rsid w:val="00D32972"/>
    <w:rsid w:val="00D65FFB"/>
    <w:rsid w:val="00DA5D67"/>
    <w:rsid w:val="00DD3B38"/>
    <w:rsid w:val="00DE105E"/>
    <w:rsid w:val="00E248F4"/>
    <w:rsid w:val="00E2659F"/>
    <w:rsid w:val="00E61325"/>
    <w:rsid w:val="00E7665A"/>
    <w:rsid w:val="00E90BB7"/>
    <w:rsid w:val="00E92A89"/>
    <w:rsid w:val="00EB0BFE"/>
    <w:rsid w:val="00F400A0"/>
    <w:rsid w:val="00F41871"/>
    <w:rsid w:val="00F574F8"/>
    <w:rsid w:val="00F6300A"/>
    <w:rsid w:val="0D2D6170"/>
    <w:rsid w:val="34CA01DE"/>
    <w:rsid w:val="3D6153B6"/>
    <w:rsid w:val="7C2825D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ocked="1"/>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3">
    <w:name w:val="Default Paragraph Font"/>
    <w:link w:val="4"/>
    <w:semiHidden/>
    <w:locked/>
    <w:uiPriority w:val="0"/>
  </w:style>
  <w:style w:type="table" w:default="1" w:styleId="6">
    <w:name w:val="Normal Table"/>
    <w:semiHidden/>
    <w:uiPriority w:val="0"/>
    <w:tblPr>
      <w:tblLayout w:type="fixed"/>
      <w:tblCellMar>
        <w:top w:w="0" w:type="dxa"/>
        <w:left w:w="108" w:type="dxa"/>
        <w:bottom w:w="0" w:type="dxa"/>
        <w:right w:w="108" w:type="dxa"/>
      </w:tblCellMar>
    </w:tblPr>
    <w:tcPr>
      <w:textDirection w:val="tbRl"/>
    </w:tcPr>
  </w:style>
  <w:style w:type="paragraph" w:styleId="2">
    <w:name w:val="footer"/>
    <w:basedOn w:val="1"/>
    <w:uiPriority w:val="0"/>
    <w:pPr>
      <w:tabs>
        <w:tab w:val="center" w:pos="4153"/>
        <w:tab w:val="right" w:pos="8306"/>
      </w:tabs>
      <w:snapToGrid w:val="0"/>
      <w:jc w:val="left"/>
    </w:pPr>
    <w:rPr>
      <w:sz w:val="18"/>
      <w:szCs w:val="18"/>
    </w:rPr>
  </w:style>
  <w:style w:type="paragraph" w:customStyle="1" w:styleId="4">
    <w:name w:val="Char"/>
    <w:basedOn w:val="1"/>
    <w:link w:val="3"/>
    <w:uiPriority w:val="0"/>
    <w:pPr>
      <w:widowControl/>
      <w:spacing w:after="160" w:line="240" w:lineRule="exact"/>
      <w:jc w:val="left"/>
    </w:pPr>
    <w:rPr>
      <w:rFonts w:ascii="Verdana" w:hAnsi="Verdana" w:eastAsia="仿宋_GB2312" w:cs="Verdana"/>
      <w:kern w:val="0"/>
      <w:sz w:val="24"/>
      <w:szCs w:val="24"/>
      <w:lang w:eastAsia="en-US"/>
    </w:rPr>
  </w:style>
  <w:style w:type="character" w:styleId="5">
    <w:name w:val="page number"/>
    <w:basedOn w:val="3"/>
    <w:uiPriority w:val="0"/>
  </w:style>
</w:style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microsoft.com/office/2006/relationships/keyMapCustomizations" Target="customizations.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447</Words>
  <Characters>2548</Characters>
  <Lines>21</Lines>
  <Paragraphs>5</Paragraphs>
  <TotalTime>0</TotalTime>
  <ScaleCrop>false</ScaleCrop>
  <LinksUpToDate>false</LinksUpToDate>
  <CharactersWithSpaces>2990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2014-05-13T10:07:00Z</dcterms:created>
  <dc:creator>user</dc:creator>
  <cp:lastModifiedBy>TF-PC</cp:lastModifiedBy>
  <dcterms:modified xsi:type="dcterms:W3CDTF">2018-08-27T09:40:23Z</dcterms:modified>
  <dc:title>天津市河北区人民法院</dc:title>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