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336" w:lineRule="auto"/>
        <w:jc w:val="center"/>
        <w:rPr>
          <w:rFonts w:hint="default" w:ascii="仿宋_GB2312" w:hAnsi="MS Sans Serif" w:eastAsia="仿宋_GB2312"/>
          <w:kern w:val="0"/>
          <w:sz w:val="32"/>
        </w:rPr>
      </w:pPr>
      <w:bookmarkStart w:id="0" w:name="_GoBack"/>
      <w:bookmarkEnd w:id="0"/>
      <w:r>
        <w:rPr>
          <w:rFonts w:hint="eastAsia" w:ascii="宋体" w:hAnsi="MS Sans Serif"/>
          <w:kern w:val="0"/>
          <w:sz w:val="44"/>
        </w:rPr>
        <w:t>天津市南开区人民法院</w:t>
      </w:r>
    </w:p>
    <w:p>
      <w:pPr>
        <w:autoSpaceDE w:val="0"/>
        <w:autoSpaceDN w:val="0"/>
        <w:adjustRightInd w:val="0"/>
        <w:spacing w:beforeLines="0" w:afterLines="0" w:line="336" w:lineRule="auto"/>
        <w:jc w:val="center"/>
        <w:rPr>
          <w:rFonts w:hint="default" w:ascii="仿宋_GB2312" w:hAnsi="MS Sans Serif" w:eastAsia="仿宋_GB2312"/>
          <w:kern w:val="0"/>
          <w:sz w:val="32"/>
        </w:rPr>
      </w:pPr>
      <w:r>
        <w:rPr>
          <w:rFonts w:hint="eastAsia" w:ascii="宋体" w:hAnsi="MS Sans Serif"/>
          <w:b/>
          <w:kern w:val="0"/>
          <w:sz w:val="52"/>
        </w:rPr>
        <w:t>刑事判决书</w:t>
      </w:r>
    </w:p>
    <w:p>
      <w:pPr>
        <w:autoSpaceDE w:val="0"/>
        <w:autoSpaceDN w:val="0"/>
        <w:adjustRightInd w:val="0"/>
        <w:spacing w:beforeLines="0" w:afterLines="0" w:line="336" w:lineRule="auto"/>
        <w:jc w:val="left"/>
        <w:rPr>
          <w:rFonts w:hint="default" w:ascii="仿宋_GB2312" w:hAnsi="MS Sans Serif" w:eastAsia="仿宋_GB2312"/>
          <w:kern w:val="0"/>
          <w:sz w:val="32"/>
        </w:rPr>
      </w:pPr>
    </w:p>
    <w:p>
      <w:pPr>
        <w:autoSpaceDE w:val="0"/>
        <w:autoSpaceDN w:val="0"/>
        <w:adjustRightInd w:val="0"/>
        <w:spacing w:beforeLines="0" w:afterLines="0" w:line="336" w:lineRule="auto"/>
        <w:jc w:val="right"/>
        <w:rPr>
          <w:rFonts w:hint="eastAsia" w:ascii="仿宋_GB2312" w:hAnsi="MS Sans Serif" w:eastAsia="仿宋_GB2312"/>
          <w:kern w:val="0"/>
          <w:sz w:val="32"/>
        </w:rPr>
      </w:pPr>
      <w:r>
        <w:rPr>
          <w:rFonts w:hint="eastAsia" w:ascii="仿宋_GB2312" w:hAnsi="MS Sans Serif" w:eastAsia="仿宋_GB2312"/>
          <w:kern w:val="0"/>
          <w:sz w:val="32"/>
        </w:rPr>
        <w:t xml:space="preserve">（2014）南刑初字第117号 </w:t>
      </w:r>
    </w:p>
    <w:p>
      <w:pPr>
        <w:autoSpaceDE w:val="0"/>
        <w:autoSpaceDN w:val="0"/>
        <w:adjustRightInd w:val="0"/>
        <w:spacing w:beforeLines="0" w:afterLines="0" w:line="336" w:lineRule="auto"/>
        <w:jc w:val="left"/>
        <w:rPr>
          <w:rFonts w:hint="default" w:ascii="仿宋_GB2312" w:hAnsi="MS Sans Serif" w:eastAsia="仿宋_GB2312"/>
          <w:kern w:val="0"/>
          <w:sz w:val="32"/>
        </w:rPr>
      </w:pPr>
    </w:p>
    <w:p>
      <w:pPr>
        <w:autoSpaceDE w:val="0"/>
        <w:autoSpaceDN w:val="0"/>
        <w:adjustRightInd w:val="0"/>
        <w:spacing w:beforeLines="0" w:afterLines="0" w:line="336" w:lineRule="auto"/>
        <w:rPr>
          <w:rFonts w:hint="default" w:ascii="仿宋_GB2312" w:hAnsi="MS Sans Serif" w:eastAsia="仿宋_GB2312"/>
          <w:kern w:val="0"/>
          <w:sz w:val="32"/>
        </w:rPr>
      </w:pPr>
      <w:r>
        <w:rPr>
          <w:rFonts w:hint="eastAsia" w:ascii="仿宋_GB2312" w:hAnsi="MS Sans Serif" w:eastAsia="仿宋_GB2312"/>
          <w:kern w:val="0"/>
          <w:sz w:val="32"/>
        </w:rPr>
        <w:t xml:space="preserve">    公诉机关天津市南开区人民检察院。</w:t>
      </w:r>
    </w:p>
    <w:p>
      <w:pPr>
        <w:autoSpaceDE w:val="0"/>
        <w:autoSpaceDN w:val="0"/>
        <w:adjustRightInd w:val="0"/>
        <w:spacing w:beforeLines="0" w:afterLines="0" w:line="336" w:lineRule="auto"/>
        <w:rPr>
          <w:rFonts w:hint="default" w:ascii="仿宋_GB2312" w:hAnsi="MS Sans Serif" w:eastAsia="仿宋_GB2312"/>
          <w:kern w:val="0"/>
          <w:sz w:val="32"/>
        </w:rPr>
      </w:pPr>
      <w:r>
        <w:rPr>
          <w:rFonts w:hint="eastAsia" w:ascii="仿宋_GB2312" w:hAnsi="MS Sans Serif" w:eastAsia="仿宋_GB2312"/>
          <w:kern w:val="0"/>
          <w:sz w:val="32"/>
        </w:rPr>
        <w:t xml:space="preserve">    被告人杨成林，男，1981年6月10日出生于天津市，公民身份号码：120104198106107311，汉族，大学肄业文化，无职业，居住地同户籍地天津市和平区山西路155号207号。2013年11月14日因涉嫌信用卡诈骗罪被取保候审。现在居住地公安机关管控中。</w:t>
      </w:r>
    </w:p>
    <w:p>
      <w:pPr>
        <w:autoSpaceDE w:val="0"/>
        <w:autoSpaceDN w:val="0"/>
        <w:adjustRightInd w:val="0"/>
        <w:spacing w:beforeLines="0" w:afterLines="0" w:line="336" w:lineRule="auto"/>
        <w:rPr>
          <w:rFonts w:hint="default" w:ascii="仿宋_GB2312" w:hAnsi="MS Sans Serif" w:eastAsia="仿宋_GB2312"/>
          <w:kern w:val="0"/>
          <w:sz w:val="32"/>
        </w:rPr>
      </w:pPr>
      <w:r>
        <w:rPr>
          <w:rFonts w:hint="eastAsia" w:ascii="仿宋_GB2312" w:hAnsi="MS Sans Serif" w:eastAsia="仿宋_GB2312"/>
          <w:kern w:val="0"/>
          <w:sz w:val="32"/>
        </w:rPr>
        <w:t xml:space="preserve">    天津市南开区人民检察院以津南检刑诉[2014]49号起诉书指控被告人杨成林犯信用卡诈骗罪，于2014年2月28日向本院提起公诉。本院依法适用简易程序，实行独任审判，公开开庭审理了本案。天津市南开区人民检察院指派检察员王静出庭支持公诉，被告人杨成林到庭参加诉讼。现已审理终结。</w:t>
      </w:r>
    </w:p>
    <w:p>
      <w:pPr>
        <w:autoSpaceDE w:val="0"/>
        <w:autoSpaceDN w:val="0"/>
        <w:adjustRightInd w:val="0"/>
        <w:spacing w:beforeLines="0" w:afterLines="0" w:line="336" w:lineRule="auto"/>
        <w:ind w:firstLine="645"/>
        <w:rPr>
          <w:rFonts w:hint="default" w:ascii="仿宋_GB2312" w:hAnsi="MS Sans Serif" w:eastAsia="仿宋_GB2312"/>
          <w:kern w:val="0"/>
          <w:sz w:val="32"/>
        </w:rPr>
      </w:pPr>
      <w:r>
        <w:rPr>
          <w:rFonts w:hint="eastAsia" w:ascii="仿宋_GB2312" w:hAnsi="MS Sans Serif" w:eastAsia="仿宋_GB2312"/>
          <w:kern w:val="0"/>
          <w:sz w:val="32"/>
        </w:rPr>
        <w:t>天津市南开区人民检察院指控，2013年8月28日，被告人杨成林在工商银行天津华苑新区支行存钱时发现王某的工商银行卡遗忘在ATM机内，遂分五次从卡内提取现金13000元据为己有。案发后被告人杨成林退赔被害人王某13000元。</w:t>
      </w:r>
    </w:p>
    <w:p>
      <w:pPr>
        <w:autoSpaceDE w:val="0"/>
        <w:autoSpaceDN w:val="0"/>
        <w:adjustRightInd w:val="0"/>
        <w:spacing w:beforeLines="0" w:afterLines="0" w:line="360" w:lineRule="auto"/>
        <w:ind w:firstLine="645"/>
        <w:rPr>
          <w:rFonts w:hint="default" w:ascii="仿宋_GB2312" w:eastAsia="仿宋_GB2312"/>
          <w:sz w:val="32"/>
        </w:rPr>
      </w:pPr>
      <w:r>
        <w:rPr>
          <w:rFonts w:hint="eastAsia" w:ascii="仿宋_GB2312" w:eastAsia="仿宋_GB2312"/>
          <w:sz w:val="32"/>
        </w:rPr>
        <w:t>上述事实，被告人杨成林在开庭审理过程中亦无异议，且有公安机关出具的案件来源、抓获经过及情况说明材料，被害人王某陈述，视听资料及光盘制作说明，公安机关调取证据通知书及中国工商银行出具的王某、孙某银行卡账户历史明细清单，证人孙某证言，扣押发还赃款清单，被告人杨成林身份证明及其供述等证据证实，足以认定。</w:t>
      </w:r>
    </w:p>
    <w:p>
      <w:pPr>
        <w:autoSpaceDE w:val="0"/>
        <w:autoSpaceDN w:val="0"/>
        <w:adjustRightInd w:val="0"/>
        <w:spacing w:beforeLines="0" w:afterLines="0" w:line="360" w:lineRule="auto"/>
        <w:ind w:firstLine="640" w:firstLineChars="200"/>
        <w:rPr>
          <w:rFonts w:hint="default" w:ascii="仿宋_GB2312" w:hAnsi="宋体" w:eastAsia="仿宋_GB2312"/>
          <w:kern w:val="0"/>
          <w:sz w:val="32"/>
        </w:rPr>
      </w:pPr>
      <w:r>
        <w:rPr>
          <w:rFonts w:hint="eastAsia" w:ascii="仿宋_GB2312" w:hAnsi="MS Sans Serif" w:eastAsia="仿宋_GB2312"/>
          <w:kern w:val="0"/>
          <w:sz w:val="32"/>
        </w:rPr>
        <w:t>本院认为，</w:t>
      </w:r>
      <w:r>
        <w:rPr>
          <w:rFonts w:hint="eastAsia" w:ascii="仿宋_GB2312" w:eastAsia="仿宋_GB2312"/>
          <w:sz w:val="32"/>
        </w:rPr>
        <w:t>天津市南开区人民检察院指控被告人杨成林犯信用卡诈骗罪，事实清楚，证据确实充分，定性准确，应予以支持，并对所提量刑建议酌情予以考虑。</w:t>
      </w:r>
      <w:r>
        <w:rPr>
          <w:rFonts w:hint="eastAsia" w:ascii="仿宋_GB2312" w:eastAsia="仿宋_GB2312"/>
          <w:kern w:val="0"/>
          <w:sz w:val="32"/>
        </w:rPr>
        <w:t>被告人杨成林目无国法，以非法占有为目的，冒用他人信用卡</w:t>
      </w:r>
      <w:r>
        <w:rPr>
          <w:rFonts w:hint="eastAsia" w:ascii="仿宋_GB2312" w:eastAsia="仿宋_GB2312"/>
          <w:sz w:val="32"/>
        </w:rPr>
        <w:t>骗取他人现金13000元，依法属数额较大，其行为已构成信用卡诈骗罪，应判处</w:t>
      </w:r>
      <w:r>
        <w:rPr>
          <w:rFonts w:hint="eastAsia" w:ascii="仿宋_GB2312" w:hAnsi="宋体" w:eastAsia="仿宋_GB2312"/>
          <w:sz w:val="32"/>
        </w:rPr>
        <w:t>五年以下有期徒刑或者拘役，并处二万元以上二十万元以下罚金</w:t>
      </w:r>
      <w:r>
        <w:rPr>
          <w:rFonts w:hint="eastAsia" w:ascii="仿宋_GB2312" w:eastAsia="仿宋_GB2312"/>
          <w:sz w:val="32"/>
        </w:rPr>
        <w:t>。</w:t>
      </w:r>
      <w:r>
        <w:rPr>
          <w:rFonts w:hint="eastAsia" w:ascii="仿宋_GB2312" w:hAnsi="MS Sans Serif" w:eastAsia="仿宋_GB2312"/>
          <w:kern w:val="0"/>
          <w:sz w:val="32"/>
        </w:rPr>
        <w:t>被告人杨成林归案后如实供述自己所犯罪行，退赔被害人全部经济损失，依法可以从轻处罚。</w:t>
      </w:r>
      <w:r>
        <w:rPr>
          <w:rFonts w:hint="eastAsia" w:ascii="仿宋_GB2312" w:eastAsia="仿宋_GB2312"/>
          <w:sz w:val="32"/>
        </w:rPr>
        <w:t>本院综合考虑上述量刑情节，依照《中华人民共和国刑法》第一百九十六条第一款第（三）项、第六十七条第三款、第七十二条第一款和第三款、第七十三条第二款和第三款、第五十二条、第五十三条及</w:t>
      </w:r>
      <w:r>
        <w:rPr>
          <w:rFonts w:hint="eastAsia" w:ascii="仿宋_GB2312" w:hAnsi="??" w:eastAsia="仿宋_GB2312"/>
          <w:color w:val="000000"/>
          <w:kern w:val="0"/>
          <w:sz w:val="32"/>
        </w:rPr>
        <w:t>《最高人民法院、最高人民检察院关于办理妨害信用卡管理刑事案件具体应用法律若干问题的解释》</w:t>
      </w:r>
      <w:r>
        <w:rPr>
          <w:rFonts w:hint="eastAsia" w:ascii="仿宋_GB2312" w:hAnsi="??" w:eastAsia="仿宋_GB2312"/>
          <w:smallCaps/>
          <w:color w:val="000000"/>
          <w:kern w:val="0"/>
          <w:sz w:val="32"/>
        </w:rPr>
        <w:t>第五条</w:t>
      </w:r>
      <w:r>
        <w:rPr>
          <w:rFonts w:hint="eastAsia" w:ascii="仿宋_GB2312" w:eastAsia="仿宋_GB2312"/>
          <w:sz w:val="32"/>
        </w:rPr>
        <w:t>之规定，判决如下：</w:t>
      </w:r>
    </w:p>
    <w:p>
      <w:pPr>
        <w:autoSpaceDE w:val="0"/>
        <w:autoSpaceDN w:val="0"/>
        <w:adjustRightInd w:val="0"/>
        <w:spacing w:beforeLines="0" w:afterLines="0" w:line="360" w:lineRule="auto"/>
        <w:ind w:firstLine="645"/>
        <w:rPr>
          <w:rFonts w:hint="default" w:ascii="仿宋_GB2312" w:hAnsi="宋体" w:eastAsia="仿宋_GB2312"/>
          <w:kern w:val="0"/>
          <w:sz w:val="32"/>
        </w:rPr>
      </w:pPr>
      <w:r>
        <w:rPr>
          <w:rFonts w:hint="eastAsia" w:ascii="仿宋_GB2312" w:eastAsia="仿宋_GB2312"/>
          <w:sz w:val="32"/>
        </w:rPr>
        <w:t>被告人杨成林犯信用卡诈骗罪，判处有期徒刑一年六个月，缓刑二年，并处罚金二万元。</w:t>
      </w:r>
    </w:p>
    <w:p>
      <w:pPr>
        <w:autoSpaceDE w:val="0"/>
        <w:autoSpaceDN w:val="0"/>
        <w:adjustRightInd w:val="0"/>
        <w:spacing w:beforeLines="0" w:afterLines="0" w:line="360" w:lineRule="auto"/>
        <w:ind w:firstLine="645"/>
        <w:rPr>
          <w:rFonts w:hint="default" w:ascii="仿宋_GB2312" w:hAnsi="宋体" w:eastAsia="仿宋_GB2312"/>
          <w:kern w:val="0"/>
          <w:sz w:val="32"/>
        </w:rPr>
      </w:pPr>
      <w:r>
        <w:rPr>
          <w:rFonts w:hint="eastAsia" w:ascii="仿宋_GB2312" w:hAnsi="宋体" w:eastAsia="仿宋_GB2312"/>
          <w:kern w:val="0"/>
          <w:sz w:val="32"/>
        </w:rPr>
        <w:t>（缓刑考验期限，从判决确定之日起计算。罚金于判决生效之日缴纳）。</w:t>
      </w:r>
    </w:p>
    <w:p>
      <w:pPr>
        <w:autoSpaceDE w:val="0"/>
        <w:autoSpaceDN w:val="0"/>
        <w:adjustRightInd w:val="0"/>
        <w:spacing w:beforeLines="0" w:afterLines="0" w:line="360" w:lineRule="auto"/>
        <w:ind w:firstLine="645"/>
        <w:rPr>
          <w:rFonts w:hint="default" w:ascii="仿宋_GB2312" w:hAnsi="MS Sans Serif" w:eastAsia="仿宋_GB2312"/>
          <w:kern w:val="0"/>
          <w:sz w:val="32"/>
        </w:rPr>
      </w:pPr>
      <w:r>
        <w:rPr>
          <w:rFonts w:hint="eastAsia" w:ascii="仿宋_GB2312" w:hAnsi="MS Sans Serif" w:eastAsia="仿宋_GB2312"/>
          <w:kern w:val="0"/>
          <w:sz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beforeLines="0" w:afterLines="0" w:line="336" w:lineRule="auto"/>
        <w:jc w:val="right"/>
        <w:rPr>
          <w:rFonts w:hint="default" w:ascii="仿宋_GB2312" w:hAnsi="MS Sans Serif" w:eastAsia="仿宋_GB2312"/>
          <w:kern w:val="0"/>
          <w:sz w:val="32"/>
        </w:rPr>
      </w:pPr>
    </w:p>
    <w:p>
      <w:pPr>
        <w:autoSpaceDE w:val="0"/>
        <w:autoSpaceDN w:val="0"/>
        <w:adjustRightInd w:val="0"/>
        <w:spacing w:beforeLines="0" w:afterLines="0" w:line="336" w:lineRule="auto"/>
        <w:jc w:val="right"/>
        <w:rPr>
          <w:rFonts w:hint="default" w:ascii="仿宋_GB2312" w:hAnsi="MS Sans Serif" w:eastAsia="仿宋_GB2312"/>
          <w:kern w:val="0"/>
          <w:sz w:val="32"/>
        </w:rPr>
      </w:pPr>
      <w:r>
        <w:rPr>
          <w:rFonts w:hint="eastAsia" w:ascii="仿宋_GB2312" w:hAnsi="MS Sans Serif" w:eastAsia="仿宋_GB2312"/>
          <w:kern w:val="0"/>
          <w:sz w:val="32"/>
        </w:rPr>
        <w:t>审  判  员    张国萍</w:t>
      </w:r>
    </w:p>
    <w:p>
      <w:pPr>
        <w:autoSpaceDE w:val="0"/>
        <w:autoSpaceDN w:val="0"/>
        <w:adjustRightInd w:val="0"/>
        <w:spacing w:beforeLines="0" w:afterLines="0" w:line="336" w:lineRule="auto"/>
        <w:ind w:right="160"/>
        <w:jc w:val="right"/>
        <w:rPr>
          <w:rFonts w:hint="default" w:ascii="仿宋_GB2312" w:hAnsi="MS Sans Serif" w:eastAsia="仿宋_GB2312"/>
          <w:kern w:val="0"/>
          <w:sz w:val="32"/>
        </w:rPr>
      </w:pPr>
    </w:p>
    <w:p>
      <w:pPr>
        <w:autoSpaceDE w:val="0"/>
        <w:autoSpaceDN w:val="0"/>
        <w:adjustRightInd w:val="0"/>
        <w:spacing w:beforeLines="0" w:afterLines="0" w:line="360" w:lineRule="auto"/>
        <w:jc w:val="right"/>
        <w:rPr>
          <w:rFonts w:hint="default" w:ascii="仿宋_GB2312" w:hAnsi="MS Sans Serif" w:eastAsia="仿宋_GB2312"/>
          <w:kern w:val="0"/>
          <w:sz w:val="32"/>
        </w:rPr>
      </w:pPr>
      <w:r>
        <w:rPr>
          <w:rFonts w:hint="eastAsia" w:ascii="仿宋_GB2312" w:hAnsi="MS Sans Serif" w:eastAsia="仿宋_GB2312"/>
          <w:kern w:val="0"/>
          <w:sz w:val="32"/>
        </w:rPr>
        <w:t xml:space="preserve">二○一四年三月十七日 </w:t>
      </w:r>
    </w:p>
    <w:p>
      <w:pPr>
        <w:wordWrap w:val="0"/>
        <w:autoSpaceDE w:val="0"/>
        <w:autoSpaceDN w:val="0"/>
        <w:adjustRightInd w:val="0"/>
        <w:spacing w:beforeLines="0" w:afterLines="0" w:line="360" w:lineRule="auto"/>
        <w:jc w:val="right"/>
        <w:rPr>
          <w:rFonts w:hint="default" w:ascii="仿宋_GB2312" w:hAnsi="MS Sans Serif" w:eastAsia="仿宋_GB2312"/>
          <w:kern w:val="0"/>
          <w:sz w:val="32"/>
        </w:rPr>
      </w:pPr>
    </w:p>
    <w:p>
      <w:pPr>
        <w:wordWrap w:val="0"/>
        <w:autoSpaceDE w:val="0"/>
        <w:autoSpaceDN w:val="0"/>
        <w:adjustRightInd w:val="0"/>
        <w:spacing w:beforeLines="0" w:afterLines="0" w:line="360" w:lineRule="auto"/>
        <w:jc w:val="right"/>
        <w:rPr>
          <w:rFonts w:hint="default" w:ascii="仿宋_GB2312" w:hAnsi="MS Sans Serif" w:eastAsia="仿宋_GB2312"/>
          <w:kern w:val="0"/>
          <w:sz w:val="32"/>
        </w:rPr>
      </w:pPr>
      <w:r>
        <w:rPr>
          <w:rFonts w:hint="eastAsia" w:ascii="仿宋_GB2312" w:hAnsi="MS Sans Serif" w:eastAsia="仿宋_GB2312"/>
          <w:kern w:val="0"/>
          <w:sz w:val="32"/>
        </w:rPr>
        <w:t>书  记  员    李秀惠</w:t>
      </w:r>
    </w:p>
    <w:p>
      <w:pPr>
        <w:autoSpaceDE w:val="0"/>
        <w:autoSpaceDN w:val="0"/>
        <w:adjustRightInd w:val="0"/>
        <w:spacing w:beforeLines="0" w:afterLines="0" w:line="360" w:lineRule="auto"/>
        <w:jc w:val="right"/>
        <w:rPr>
          <w:rFonts w:hint="default" w:ascii="仿宋_GB2312" w:hAnsi="MS Sans Serif" w:eastAsia="仿宋_GB2312"/>
          <w:kern w:val="0"/>
          <w:sz w:val="32"/>
        </w:rPr>
      </w:pPr>
      <w:r>
        <w:rPr>
          <w:rFonts w:hint="eastAsia" w:ascii="仿宋_GB2312" w:hAnsi="MS Sans Serif" w:eastAsia="仿宋_GB2312"/>
          <w:kern w:val="0"/>
          <w:sz w:val="32"/>
        </w:rPr>
        <w:t>孙  岩</w:t>
      </w:r>
    </w:p>
    <w:p>
      <w:pPr>
        <w:autoSpaceDE w:val="0"/>
        <w:autoSpaceDN w:val="0"/>
        <w:adjustRightInd w:val="0"/>
        <w:spacing w:beforeLines="0" w:afterLines="0"/>
        <w:ind w:firstLine="641" w:firstLineChars="200"/>
        <w:jc w:val="left"/>
        <w:rPr>
          <w:rFonts w:hint="default" w:ascii="仿宋_GB2312" w:hAnsi="MS Sans Serif" w:eastAsia="仿宋_GB2312"/>
          <w:b/>
          <w:kern w:val="0"/>
          <w:sz w:val="32"/>
        </w:rPr>
      </w:pPr>
    </w:p>
    <w:p>
      <w:pPr>
        <w:autoSpaceDE w:val="0"/>
        <w:autoSpaceDN w:val="0"/>
        <w:adjustRightInd w:val="0"/>
        <w:spacing w:beforeLines="0" w:afterLines="0"/>
        <w:ind w:firstLine="641" w:firstLineChars="200"/>
        <w:jc w:val="left"/>
        <w:rPr>
          <w:rFonts w:hint="default" w:ascii="仿宋_GB2312" w:hAnsi="MS Sans Serif" w:eastAsia="仿宋_GB2312"/>
          <w:b/>
          <w:kern w:val="0"/>
          <w:sz w:val="32"/>
        </w:rPr>
      </w:pPr>
    </w:p>
    <w:p>
      <w:pPr>
        <w:autoSpaceDE w:val="0"/>
        <w:autoSpaceDN w:val="0"/>
        <w:adjustRightInd w:val="0"/>
        <w:spacing w:beforeLines="0" w:afterLines="0"/>
        <w:ind w:firstLine="641" w:firstLineChars="200"/>
        <w:jc w:val="left"/>
        <w:rPr>
          <w:rFonts w:hint="default" w:ascii="仿宋_GB2312" w:hAnsi="MS Sans Serif" w:eastAsia="仿宋_GB2312"/>
          <w:b/>
          <w:kern w:val="0"/>
          <w:sz w:val="32"/>
        </w:rPr>
      </w:pPr>
    </w:p>
    <w:p>
      <w:pPr>
        <w:autoSpaceDE w:val="0"/>
        <w:autoSpaceDN w:val="0"/>
        <w:adjustRightInd w:val="0"/>
        <w:spacing w:beforeLines="0" w:afterLines="0"/>
        <w:ind w:firstLine="641" w:firstLineChars="200"/>
        <w:jc w:val="left"/>
        <w:rPr>
          <w:rFonts w:hint="default" w:ascii="仿宋_GB2312" w:hAnsi="MS Sans Serif" w:eastAsia="仿宋_GB2312"/>
          <w:b/>
          <w:kern w:val="0"/>
          <w:sz w:val="32"/>
        </w:rPr>
      </w:pPr>
    </w:p>
    <w:p>
      <w:pPr>
        <w:autoSpaceDE w:val="0"/>
        <w:autoSpaceDN w:val="0"/>
        <w:adjustRightInd w:val="0"/>
        <w:spacing w:beforeLines="0" w:afterLines="0"/>
        <w:ind w:firstLine="641" w:firstLineChars="200"/>
        <w:jc w:val="left"/>
        <w:rPr>
          <w:rFonts w:hint="default" w:ascii="仿宋_GB2312" w:hAnsi="MS Sans Serif" w:eastAsia="仿宋_GB2312"/>
          <w:b/>
          <w:kern w:val="0"/>
          <w:sz w:val="32"/>
        </w:rPr>
      </w:pPr>
      <w:r>
        <w:rPr>
          <w:rFonts w:hint="eastAsia" w:ascii="仿宋_GB2312" w:hAnsi="MS Sans Serif" w:eastAsia="仿宋_GB2312"/>
          <w:b/>
          <w:kern w:val="0"/>
          <w:sz w:val="32"/>
        </w:rPr>
        <w:t>附：本案所引用相关法律条款内容摘要。</w:t>
      </w:r>
    </w:p>
    <w:p>
      <w:pPr>
        <w:autoSpaceDE w:val="0"/>
        <w:autoSpaceDN w:val="0"/>
        <w:adjustRightInd w:val="0"/>
        <w:spacing w:beforeLines="0" w:afterLines="0"/>
        <w:ind w:firstLine="641" w:firstLineChars="200"/>
        <w:jc w:val="left"/>
        <w:rPr>
          <w:rFonts w:hint="default" w:ascii="仿宋_GB2312" w:hAnsi="MS Sans Serif" w:eastAsia="仿宋_GB2312"/>
          <w:b/>
          <w:kern w:val="0"/>
          <w:sz w:val="32"/>
        </w:rPr>
      </w:pPr>
      <w:r>
        <w:rPr>
          <w:rFonts w:hint="eastAsia" w:ascii="仿宋_GB2312" w:hAnsi="MS Sans Serif" w:eastAsia="仿宋_GB2312"/>
          <w:b/>
          <w:kern w:val="0"/>
          <w:sz w:val="32"/>
        </w:rPr>
        <w:t>《中华人民共和国刑法》</w:t>
      </w:r>
    </w:p>
    <w:p>
      <w:pPr>
        <w:pStyle w:val="2"/>
        <w:spacing w:beforeLines="0" w:afterLines="0"/>
        <w:ind w:firstLine="641" w:firstLineChars="200"/>
        <w:rPr>
          <w:rFonts w:hint="default" w:ascii="仿宋_GB2312" w:hAnsi="宋体" w:eastAsia="仿宋_GB2312"/>
          <w:sz w:val="32"/>
        </w:rPr>
      </w:pPr>
      <w:r>
        <w:rPr>
          <w:rFonts w:hint="eastAsia" w:ascii="仿宋_GB2312" w:hAnsi="宋体" w:eastAsia="仿宋_GB2312"/>
          <w:b/>
          <w:sz w:val="32"/>
        </w:rPr>
        <w:t xml:space="preserve">第一百九十六条第三款   </w:t>
      </w:r>
      <w:r>
        <w:rPr>
          <w:rFonts w:hint="eastAsia" w:ascii="仿宋_GB2312" w:hAnsi="宋体" w:eastAsia="仿宋_GB2312"/>
          <w:sz w:val="32"/>
        </w:rPr>
        <w:t>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spacing w:beforeLines="0" w:afterLines="0"/>
        <w:rPr>
          <w:rFonts w:hint="default" w:ascii="仿宋_GB2312" w:hAnsi="宋体" w:eastAsia="仿宋_GB2312"/>
          <w:sz w:val="32"/>
        </w:rPr>
      </w:pPr>
      <w:r>
        <w:rPr>
          <w:rFonts w:hint="eastAsia" w:ascii="仿宋_GB2312" w:hAnsi="宋体" w:eastAsia="仿宋_GB2312"/>
          <w:sz w:val="32"/>
        </w:rPr>
        <w:t>　　（一）使用伪造的信用卡，或者使用以虚假的身份证明骗领的信用卡的；</w:t>
      </w:r>
    </w:p>
    <w:p>
      <w:pPr>
        <w:pStyle w:val="2"/>
        <w:spacing w:beforeLines="0" w:afterLines="0"/>
        <w:rPr>
          <w:rFonts w:hint="default" w:ascii="仿宋_GB2312" w:hAnsi="宋体" w:eastAsia="仿宋_GB2312"/>
          <w:sz w:val="32"/>
        </w:rPr>
      </w:pPr>
      <w:r>
        <w:rPr>
          <w:rFonts w:hint="eastAsia" w:ascii="仿宋_GB2312" w:hAnsi="宋体" w:eastAsia="仿宋_GB2312"/>
          <w:sz w:val="32"/>
        </w:rPr>
        <w:t>　　（二）使用作废的信用卡的；</w:t>
      </w:r>
    </w:p>
    <w:p>
      <w:pPr>
        <w:pStyle w:val="2"/>
        <w:spacing w:beforeLines="0" w:afterLines="0"/>
        <w:rPr>
          <w:rFonts w:hint="default" w:ascii="仿宋_GB2312" w:hAnsi="宋体" w:eastAsia="仿宋_GB2312"/>
          <w:sz w:val="32"/>
        </w:rPr>
      </w:pPr>
      <w:r>
        <w:rPr>
          <w:rFonts w:hint="eastAsia" w:ascii="仿宋_GB2312" w:hAnsi="宋体" w:eastAsia="仿宋_GB2312"/>
          <w:sz w:val="32"/>
        </w:rPr>
        <w:t>　　（三）冒用他人信用卡的；</w:t>
      </w:r>
    </w:p>
    <w:p>
      <w:pPr>
        <w:pStyle w:val="2"/>
        <w:spacing w:beforeLines="0" w:afterLines="0"/>
        <w:ind w:firstLine="645"/>
        <w:rPr>
          <w:rFonts w:hint="default" w:ascii="仿宋_GB2312" w:hAnsi="宋体" w:eastAsia="仿宋_GB2312"/>
          <w:sz w:val="32"/>
        </w:rPr>
      </w:pPr>
      <w:r>
        <w:rPr>
          <w:rFonts w:hint="eastAsia" w:ascii="仿宋_GB2312" w:hAnsi="宋体" w:eastAsia="仿宋_GB2312"/>
          <w:sz w:val="32"/>
        </w:rPr>
        <w:t>（四）恶意透支的。</w:t>
      </w:r>
    </w:p>
    <w:p>
      <w:pPr>
        <w:pStyle w:val="2"/>
        <w:spacing w:beforeLines="0" w:afterLines="0"/>
        <w:ind w:firstLine="645"/>
        <w:rPr>
          <w:rFonts w:hint="default" w:ascii="仿宋_GB2312" w:hAnsi="宋体" w:eastAsia="仿宋_GB2312"/>
          <w:sz w:val="32"/>
        </w:rPr>
      </w:pPr>
      <w:r>
        <w:rPr>
          <w:rFonts w:hint="eastAsia" w:ascii="仿宋_GB2312" w:eastAsia="仿宋_GB2312"/>
          <w:b/>
          <w:kern w:val="0"/>
          <w:sz w:val="32"/>
          <w:lang w:val="zh-CN"/>
        </w:rPr>
        <w:t xml:space="preserve">第六十七条第三款  </w:t>
      </w: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pPr>
        <w:autoSpaceDE w:val="0"/>
        <w:autoSpaceDN w:val="0"/>
        <w:adjustRightInd w:val="0"/>
        <w:spacing w:beforeLines="0" w:afterLines="0"/>
        <w:ind w:firstLine="641" w:firstLineChars="200"/>
        <w:rPr>
          <w:rFonts w:hint="default" w:ascii="仿宋_GB2312" w:hAnsi="宋体" w:eastAsia="仿宋_GB2312"/>
          <w:sz w:val="32"/>
        </w:rPr>
      </w:pPr>
      <w:r>
        <w:rPr>
          <w:rFonts w:hint="eastAsia" w:ascii="仿宋_GB2312" w:eastAsia="仿宋_GB2312"/>
          <w:b/>
          <w:sz w:val="32"/>
        </w:rPr>
        <w:t>第七十二条第一款　</w:t>
      </w:r>
      <w:r>
        <w:rPr>
          <w:rFonts w:hint="eastAsia" w:ascii="仿宋_GB2312" w:eastAsia="仿宋_GB2312"/>
          <w:sz w:val="32"/>
        </w:rPr>
        <w:t>对于被判处拘役、三年以下有期徒刑的犯罪分子，同时符合下列条件的，可以宣告缓刑，对其中不满十八周岁的人、怀孕的妇女和已满七十五周岁的人，应当宣告缓刑：</w:t>
      </w:r>
    </w:p>
    <w:p>
      <w:pPr>
        <w:pStyle w:val="2"/>
        <w:spacing w:beforeLines="0" w:afterLines="0"/>
        <w:ind w:firstLine="640" w:firstLineChars="200"/>
        <w:rPr>
          <w:rFonts w:hint="default" w:ascii="仿宋_GB2312" w:hAnsi="宋体" w:eastAsia="仿宋_GB2312"/>
          <w:sz w:val="32"/>
        </w:rPr>
      </w:pPr>
      <w:r>
        <w:rPr>
          <w:rFonts w:hint="eastAsia" w:ascii="仿宋_GB2312" w:hAnsi="宋体" w:eastAsia="仿宋_GB2312"/>
          <w:sz w:val="32"/>
        </w:rPr>
        <w:t>（一）犯罪情节较轻；</w:t>
      </w:r>
    </w:p>
    <w:p>
      <w:pPr>
        <w:pStyle w:val="2"/>
        <w:spacing w:beforeLines="0" w:afterLines="0"/>
        <w:ind w:firstLine="640" w:firstLineChars="200"/>
        <w:rPr>
          <w:rFonts w:hint="default" w:ascii="仿宋_GB2312" w:hAnsi="宋体" w:eastAsia="仿宋_GB2312"/>
          <w:sz w:val="32"/>
        </w:rPr>
      </w:pPr>
      <w:r>
        <w:rPr>
          <w:rFonts w:hint="eastAsia" w:ascii="仿宋_GB2312" w:hAnsi="宋体" w:eastAsia="仿宋_GB2312"/>
          <w:sz w:val="32"/>
        </w:rPr>
        <w:t>（二）有悔罪表现；</w:t>
      </w:r>
    </w:p>
    <w:p>
      <w:pPr>
        <w:pStyle w:val="2"/>
        <w:spacing w:beforeLines="0" w:afterLines="0"/>
        <w:ind w:firstLine="640" w:firstLineChars="200"/>
        <w:rPr>
          <w:rFonts w:hint="default" w:ascii="仿宋_GB2312" w:hAnsi="宋体" w:eastAsia="仿宋_GB2312"/>
          <w:sz w:val="32"/>
        </w:rPr>
      </w:pPr>
      <w:r>
        <w:rPr>
          <w:rFonts w:hint="eastAsia" w:ascii="仿宋_GB2312" w:hAnsi="宋体" w:eastAsia="仿宋_GB2312"/>
          <w:sz w:val="32"/>
        </w:rPr>
        <w:t>（三）没有再犯罪的危险；</w:t>
      </w:r>
    </w:p>
    <w:p>
      <w:pPr>
        <w:pStyle w:val="2"/>
        <w:spacing w:beforeLines="0" w:afterLines="0"/>
        <w:ind w:firstLine="640" w:firstLineChars="200"/>
        <w:rPr>
          <w:rFonts w:hint="default" w:ascii="仿宋_GB2312" w:hAnsi="宋体" w:eastAsia="仿宋_GB2312"/>
          <w:sz w:val="32"/>
        </w:rPr>
      </w:pPr>
      <w:r>
        <w:rPr>
          <w:rFonts w:hint="eastAsia" w:ascii="仿宋_GB2312" w:hAnsi="宋体" w:eastAsia="仿宋_GB2312"/>
          <w:sz w:val="32"/>
        </w:rPr>
        <w:t>（四）宣告缓刑对所居住社区没有重大不良影响。</w:t>
      </w:r>
    </w:p>
    <w:p>
      <w:pPr>
        <w:pStyle w:val="2"/>
        <w:spacing w:beforeLines="0" w:afterLines="0"/>
        <w:ind w:firstLine="2242" w:firstLineChars="700"/>
        <w:rPr>
          <w:rFonts w:hint="default" w:ascii="仿宋_GB2312" w:hAnsi="宋体" w:eastAsia="仿宋_GB2312"/>
          <w:sz w:val="32"/>
        </w:rPr>
      </w:pPr>
      <w:r>
        <w:rPr>
          <w:rFonts w:hint="eastAsia" w:ascii="仿宋_GB2312" w:hAnsi="宋体" w:eastAsia="仿宋_GB2312"/>
          <w:b/>
          <w:sz w:val="32"/>
        </w:rPr>
        <w:t>第三款</w:t>
      </w:r>
      <w:r>
        <w:rPr>
          <w:rFonts w:hint="eastAsia" w:ascii="仿宋_GB2312" w:hAnsi="宋体" w:eastAsia="仿宋_GB2312"/>
          <w:sz w:val="32"/>
        </w:rPr>
        <w:t xml:space="preserve">  被宣告缓刑的犯罪分子，如果被判处附加刑，附加刑仍须执行。</w:t>
      </w:r>
    </w:p>
    <w:p>
      <w:pPr>
        <w:pStyle w:val="2"/>
        <w:spacing w:beforeLines="0" w:afterLines="0"/>
        <w:rPr>
          <w:rFonts w:hint="default" w:ascii="仿宋_GB2312" w:hAnsi="宋体" w:eastAsia="仿宋_GB2312"/>
          <w:sz w:val="32"/>
        </w:rPr>
      </w:pPr>
      <w:r>
        <w:rPr>
          <w:rFonts w:hint="eastAsia" w:ascii="仿宋_GB2312" w:hAnsi="宋体" w:eastAsia="仿宋_GB2312"/>
          <w:sz w:val="32"/>
        </w:rPr>
        <w:t xml:space="preserve">　  </w:t>
      </w:r>
      <w:r>
        <w:rPr>
          <w:rFonts w:hint="eastAsia" w:ascii="仿宋_GB2312" w:hAnsi="宋体" w:eastAsia="仿宋_GB2312"/>
          <w:b/>
          <w:sz w:val="32"/>
        </w:rPr>
        <w:t>第七十三条第二款</w:t>
      </w:r>
      <w:r>
        <w:rPr>
          <w:rFonts w:hint="eastAsia" w:ascii="仿宋_GB2312" w:hAnsi="宋体" w:eastAsia="仿宋_GB2312"/>
          <w:sz w:val="32"/>
        </w:rPr>
        <w:t>　有期徒刑的缓刑考验期限为原判刑期以上五年以下，但是不能少于一年。</w:t>
      </w:r>
    </w:p>
    <w:p>
      <w:pPr>
        <w:pStyle w:val="2"/>
        <w:numPr>
          <w:ilvl w:val="0"/>
          <w:numId w:val="1"/>
        </w:numPr>
        <w:spacing w:beforeLines="0" w:afterLines="0"/>
        <w:rPr>
          <w:rFonts w:hint="default" w:hAnsi="宋体"/>
          <w:sz w:val="21"/>
        </w:rPr>
      </w:pPr>
      <w:r>
        <w:rPr>
          <w:rFonts w:hint="eastAsia" w:ascii="仿宋_GB2312" w:hAnsi="宋体" w:eastAsia="仿宋_GB2312"/>
          <w:sz w:val="32"/>
        </w:rPr>
        <w:t xml:space="preserve">  缓刑考验期限，从判决确定之日起计算</w:t>
      </w:r>
      <w:r>
        <w:rPr>
          <w:rFonts w:hint="eastAsia" w:hAnsi="宋体"/>
          <w:sz w:val="21"/>
        </w:rPr>
        <w:t>。</w:t>
      </w:r>
    </w:p>
    <w:p>
      <w:pPr>
        <w:pStyle w:val="2"/>
        <w:spacing w:beforeLines="0" w:afterLines="0"/>
        <w:ind w:firstLine="645"/>
        <w:rPr>
          <w:rFonts w:hint="default" w:ascii="仿宋_GB2312" w:eastAsia="仿宋_GB2312"/>
          <w:kern w:val="0"/>
          <w:sz w:val="32"/>
        </w:rPr>
      </w:pPr>
      <w:r>
        <w:rPr>
          <w:rFonts w:hint="eastAsia" w:ascii="仿宋_GB2312" w:eastAsia="仿宋_GB2312"/>
          <w:b/>
          <w:kern w:val="0"/>
          <w:sz w:val="32"/>
        </w:rPr>
        <w:t>第五十二条</w:t>
      </w:r>
      <w:r>
        <w:rPr>
          <w:rFonts w:hint="eastAsia" w:ascii="仿宋_GB2312" w:eastAsia="仿宋_GB2312"/>
          <w:kern w:val="0"/>
          <w:sz w:val="32"/>
        </w:rPr>
        <w:t>　判处罚金，应当根据犯罪情节决定罚金数额。</w:t>
      </w:r>
    </w:p>
    <w:p>
      <w:pPr>
        <w:pStyle w:val="2"/>
        <w:spacing w:beforeLines="0" w:afterLines="0"/>
        <w:ind w:firstLine="645"/>
        <w:rPr>
          <w:rFonts w:hint="default" w:ascii="仿宋_GB2312" w:eastAsia="仿宋_GB2312"/>
          <w:kern w:val="0"/>
          <w:sz w:val="32"/>
        </w:rPr>
      </w:pPr>
      <w:r>
        <w:rPr>
          <w:rFonts w:hint="eastAsia" w:ascii="仿宋_GB2312" w:eastAsia="仿宋_GB2312"/>
          <w:b/>
          <w:kern w:val="0"/>
          <w:sz w:val="32"/>
        </w:rPr>
        <w:t>第五十三条</w:t>
      </w:r>
      <w:r>
        <w:rPr>
          <w:rFonts w:hint="eastAsia" w:ascii="仿宋_GB2312" w:eastAsia="仿宋_GB2312"/>
          <w:kern w:val="0"/>
          <w:sz w:val="32"/>
        </w:rPr>
        <w:t>　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pStyle w:val="2"/>
        <w:spacing w:beforeLines="0" w:afterLines="0"/>
        <w:ind w:firstLine="645"/>
        <w:rPr>
          <w:rFonts w:hint="default" w:ascii="仿宋_GB2312" w:eastAsia="仿宋_GB2312"/>
          <w:b/>
          <w:kern w:val="0"/>
          <w:sz w:val="32"/>
        </w:rPr>
      </w:pPr>
      <w:r>
        <w:rPr>
          <w:rFonts w:hint="eastAsia" w:ascii="仿宋_GB2312" w:eastAsia="仿宋_GB2312"/>
          <w:b/>
          <w:kern w:val="0"/>
          <w:sz w:val="32"/>
        </w:rPr>
        <w:t>《最高人民法院、最高人民检察院关于办理妨害信用卡管理刑事案件具体应用法律若干问题的解释》</w:t>
      </w:r>
    </w:p>
    <w:p>
      <w:pPr>
        <w:pStyle w:val="2"/>
        <w:spacing w:beforeLines="0" w:afterLines="0"/>
        <w:ind w:firstLine="645"/>
        <w:rPr>
          <w:rFonts w:hint="default" w:ascii="仿宋_GB2312" w:eastAsia="仿宋_GB2312"/>
          <w:kern w:val="0"/>
          <w:sz w:val="32"/>
        </w:rPr>
      </w:pPr>
      <w:r>
        <w:rPr>
          <w:rFonts w:hint="eastAsia" w:ascii="仿宋_GB2312" w:eastAsia="仿宋_GB2312"/>
          <w:b/>
          <w:smallCaps/>
          <w:kern w:val="0"/>
          <w:sz w:val="32"/>
        </w:rPr>
        <w:t>第五条</w:t>
      </w:r>
      <w:r>
        <w:rPr>
          <w:rFonts w:hint="eastAsia" w:ascii="仿宋_GB2312" w:eastAsia="仿宋_GB2312"/>
          <w:kern w:val="0"/>
          <w:sz w:val="32"/>
        </w:rPr>
        <w:t>　</w:t>
      </w:r>
      <w:r>
        <w:rPr>
          <w:rFonts w:hint="eastAsia" w:ascii="仿宋_GB2312" w:hAnsi="??" w:eastAsia="仿宋_GB2312"/>
          <w:color w:val="000000"/>
          <w:kern w:val="0"/>
          <w:sz w:val="32"/>
        </w:rPr>
        <w:t>使用伪造的信用卡、以虚假的身份证明骗领的信用卡、作废的信用卡或者冒用他人信用卡，进行信用卡诈骗活动，数额在5000元以上不满5万元的，应当认定为</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"javascript:SLC(17010,0)" </w:instrText>
      </w:r>
      <w:r>
        <w:rPr>
          <w:rFonts w:hint="eastAsia" w:ascii="仿宋_GB2312" w:hAnsi="??" w:eastAsia="仿宋_GB2312"/>
          <w:kern w:val="0"/>
          <w:sz w:val="32"/>
        </w:rPr>
        <w:fldChar w:fldCharType="separate"/>
      </w:r>
      <w:r>
        <w:rPr>
          <w:rFonts w:hint="eastAsia" w:ascii="仿宋_GB2312" w:hAnsi="??" w:eastAsia="仿宋_GB2312"/>
          <w:kern w:val="0"/>
          <w:sz w:val="32"/>
        </w:rPr>
        <w:t>刑法</w:t>
      </w:r>
      <w:r>
        <w:rPr>
          <w:rFonts w:hint="eastAsia" w:ascii="仿宋_GB2312" w:hAnsi="??" w:eastAsia="仿宋_GB2312"/>
          <w:kern w:val="0"/>
          <w:sz w:val="32"/>
        </w:rPr>
        <w:fldChar w:fldCharType="end"/>
      </w:r>
      <w:r>
        <w:rPr>
          <w:rFonts w:hint="eastAsia" w:ascii="仿宋_GB2312" w:hAnsi="??" w:eastAsia="仿宋_GB2312"/>
          <w:color w:val="000000"/>
          <w:kern w:val="0"/>
          <w:sz w:val="32"/>
        </w:rPr>
        <w:t>第</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"javascript:SLC(17010,196)" </w:instrText>
      </w:r>
      <w:r>
        <w:rPr>
          <w:rFonts w:hint="eastAsia" w:ascii="仿宋_GB2312" w:hAnsi="??" w:eastAsia="仿宋_GB2312"/>
          <w:kern w:val="0"/>
          <w:sz w:val="32"/>
        </w:rPr>
        <w:fldChar w:fldCharType="separate"/>
      </w:r>
      <w:r>
        <w:rPr>
          <w:rFonts w:hint="eastAsia" w:ascii="仿宋_GB2312" w:hAnsi="??" w:eastAsia="仿宋_GB2312"/>
          <w:kern w:val="0"/>
          <w:sz w:val="32"/>
        </w:rPr>
        <w:t>一百九十六条</w:t>
      </w:r>
      <w:r>
        <w:rPr>
          <w:rFonts w:hint="eastAsia" w:ascii="仿宋_GB2312" w:hAnsi="??" w:eastAsia="仿宋_GB2312"/>
          <w:kern w:val="0"/>
          <w:sz w:val="32"/>
        </w:rPr>
        <w:fldChar w:fldCharType="end"/>
      </w:r>
      <w:r>
        <w:rPr>
          <w:rFonts w:hint="eastAsia" w:ascii="仿宋_GB2312" w:hAnsi="??" w:eastAsia="仿宋_GB2312"/>
          <w:kern w:val="0"/>
          <w:sz w:val="32"/>
        </w:rPr>
        <w:t>规定的“数额较大”；数额在5万元以上不满50万元的，应当认定为</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"javascript:SLC(17010,0)" </w:instrText>
      </w:r>
      <w:r>
        <w:rPr>
          <w:rFonts w:hint="eastAsia" w:ascii="仿宋_GB2312" w:hAnsi="??" w:eastAsia="仿宋_GB2312"/>
          <w:kern w:val="0"/>
          <w:sz w:val="32"/>
        </w:rPr>
        <w:fldChar w:fldCharType="separate"/>
      </w:r>
      <w:r>
        <w:rPr>
          <w:rFonts w:hint="eastAsia" w:ascii="仿宋_GB2312" w:hAnsi="??" w:eastAsia="仿宋_GB2312"/>
          <w:kern w:val="0"/>
          <w:sz w:val="32"/>
        </w:rPr>
        <w:t>刑法</w:t>
      </w:r>
      <w:r>
        <w:rPr>
          <w:rFonts w:hint="eastAsia" w:ascii="仿宋_GB2312" w:hAnsi="??" w:eastAsia="仿宋_GB2312"/>
          <w:kern w:val="0"/>
          <w:sz w:val="32"/>
        </w:rPr>
        <w:fldChar w:fldCharType="end"/>
      </w:r>
      <w:r>
        <w:rPr>
          <w:rFonts w:hint="eastAsia" w:ascii="仿宋_GB2312" w:hAnsi="??" w:eastAsia="仿宋_GB2312"/>
          <w:kern w:val="0"/>
          <w:sz w:val="32"/>
        </w:rPr>
        <w:t>第</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"javascript:SLC(17010,196)" </w:instrText>
      </w:r>
      <w:r>
        <w:rPr>
          <w:rFonts w:hint="eastAsia" w:ascii="仿宋_GB2312" w:hAnsi="??" w:eastAsia="仿宋_GB2312"/>
          <w:kern w:val="0"/>
          <w:sz w:val="32"/>
        </w:rPr>
        <w:fldChar w:fldCharType="separate"/>
      </w:r>
      <w:r>
        <w:rPr>
          <w:rFonts w:hint="eastAsia" w:ascii="仿宋_GB2312" w:hAnsi="??" w:eastAsia="仿宋_GB2312"/>
          <w:kern w:val="0"/>
          <w:sz w:val="32"/>
        </w:rPr>
        <w:t>一百九十六条</w:t>
      </w:r>
      <w:r>
        <w:rPr>
          <w:rFonts w:hint="eastAsia" w:ascii="仿宋_GB2312" w:hAnsi="??" w:eastAsia="仿宋_GB2312"/>
          <w:kern w:val="0"/>
          <w:sz w:val="32"/>
        </w:rPr>
        <w:fldChar w:fldCharType="end"/>
      </w:r>
      <w:r>
        <w:rPr>
          <w:rFonts w:hint="eastAsia" w:ascii="仿宋_GB2312" w:hAnsi="??" w:eastAsia="仿宋_GB2312"/>
          <w:kern w:val="0"/>
          <w:sz w:val="32"/>
        </w:rPr>
        <w:t>规定的“数额巨大”；数额在50万元以上的，应当认定为</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"javascript:SLC(17010,0)" </w:instrText>
      </w:r>
      <w:r>
        <w:rPr>
          <w:rFonts w:hint="eastAsia" w:ascii="仿宋_GB2312" w:hAnsi="??" w:eastAsia="仿宋_GB2312"/>
          <w:kern w:val="0"/>
          <w:sz w:val="32"/>
        </w:rPr>
        <w:fldChar w:fldCharType="separate"/>
      </w:r>
      <w:r>
        <w:rPr>
          <w:rFonts w:hint="eastAsia" w:ascii="仿宋_GB2312" w:hAnsi="??" w:eastAsia="仿宋_GB2312"/>
          <w:kern w:val="0"/>
          <w:sz w:val="32"/>
        </w:rPr>
        <w:t>刑法</w:t>
      </w:r>
      <w:r>
        <w:rPr>
          <w:rFonts w:hint="eastAsia" w:ascii="仿宋_GB2312" w:hAnsi="??" w:eastAsia="仿宋_GB2312"/>
          <w:kern w:val="0"/>
          <w:sz w:val="32"/>
        </w:rPr>
        <w:fldChar w:fldCharType="end"/>
      </w:r>
      <w:r>
        <w:rPr>
          <w:rFonts w:hint="eastAsia" w:ascii="仿宋_GB2312" w:hAnsi="??" w:eastAsia="仿宋_GB2312"/>
          <w:kern w:val="0"/>
          <w:sz w:val="32"/>
        </w:rPr>
        <w:t>第</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"javascript:SLC(17010,196)" </w:instrText>
      </w:r>
      <w:r>
        <w:rPr>
          <w:rFonts w:hint="eastAsia" w:ascii="仿宋_GB2312" w:hAnsi="??" w:eastAsia="仿宋_GB2312"/>
          <w:kern w:val="0"/>
          <w:sz w:val="32"/>
        </w:rPr>
        <w:fldChar w:fldCharType="separate"/>
      </w:r>
      <w:r>
        <w:rPr>
          <w:rFonts w:hint="eastAsia" w:ascii="仿宋_GB2312" w:hAnsi="??" w:eastAsia="仿宋_GB2312"/>
          <w:kern w:val="0"/>
          <w:sz w:val="32"/>
        </w:rPr>
        <w:t>一百九十六条</w:t>
      </w:r>
      <w:r>
        <w:rPr>
          <w:rFonts w:hint="eastAsia" w:ascii="仿宋_GB2312" w:hAnsi="??" w:eastAsia="仿宋_GB2312"/>
          <w:kern w:val="0"/>
          <w:sz w:val="32"/>
        </w:rPr>
        <w:fldChar w:fldCharType="end"/>
      </w:r>
      <w:r>
        <w:rPr>
          <w:rFonts w:hint="eastAsia" w:ascii="仿宋_GB2312" w:hAnsi="??" w:eastAsia="仿宋_GB2312"/>
          <w:kern w:val="0"/>
          <w:sz w:val="32"/>
        </w:rPr>
        <w:t>规定的“数额特别巨大”。</w:t>
      </w:r>
      <w:r>
        <w:rPr>
          <w:rFonts w:hint="default" w:ascii="仿宋_GB2312" w:hAnsi="??" w:eastAsia="仿宋_GB2312"/>
          <w:kern w:val="0"/>
          <w:sz w:val="32"/>
        </w:rPr>
        <w:br w:type="textWrapping"/>
      </w:r>
      <w:r>
        <w:rPr>
          <w:rFonts w:hint="eastAsia" w:ascii="仿宋_GB2312" w:hAnsi="??" w:eastAsia="仿宋_GB2312"/>
          <w:kern w:val="0"/>
          <w:sz w:val="32"/>
        </w:rPr>
        <w:t>　　</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"javascript:SLC(17010,0)" </w:instrText>
      </w:r>
      <w:r>
        <w:rPr>
          <w:rFonts w:hint="eastAsia" w:ascii="仿宋_GB2312" w:hAnsi="??" w:eastAsia="仿宋_GB2312"/>
          <w:kern w:val="0"/>
          <w:sz w:val="32"/>
        </w:rPr>
        <w:fldChar w:fldCharType="separate"/>
      </w:r>
      <w:r>
        <w:rPr>
          <w:rFonts w:hint="eastAsia" w:ascii="仿宋_GB2312" w:hAnsi="??" w:eastAsia="仿宋_GB2312"/>
          <w:kern w:val="0"/>
          <w:sz w:val="32"/>
        </w:rPr>
        <w:t>刑法</w:t>
      </w:r>
      <w:r>
        <w:rPr>
          <w:rFonts w:hint="eastAsia" w:ascii="仿宋_GB2312" w:hAnsi="??" w:eastAsia="仿宋_GB2312"/>
          <w:kern w:val="0"/>
          <w:sz w:val="32"/>
        </w:rPr>
        <w:fldChar w:fldCharType="end"/>
      </w:r>
      <w:r>
        <w:rPr>
          <w:rFonts w:hint="eastAsia" w:ascii="仿宋_GB2312" w:hAnsi="??" w:eastAsia="仿宋_GB2312"/>
          <w:kern w:val="0"/>
          <w:sz w:val="32"/>
        </w:rPr>
        <w:t>第</w:t>
      </w:r>
      <w:r>
        <w:rPr>
          <w:rFonts w:hint="eastAsia" w:ascii="仿宋_GB2312" w:hAnsi="??" w:eastAsia="仿宋_GB2312"/>
          <w:kern w:val="0"/>
          <w:sz w:val="32"/>
        </w:rPr>
        <w:fldChar w:fldCharType="begin"/>
      </w:r>
      <w:r>
        <w:rPr>
          <w:rFonts w:hint="eastAsia" w:ascii="仿宋_GB2312" w:hAnsi="??" w:eastAsia="仿宋_GB2312"/>
          <w:kern w:val="0"/>
          <w:sz w:val="32"/>
        </w:rPr>
        <w:instrText xml:space="preserve"> HYPERLINK "javascript:SLC(17010,196)" </w:instrText>
      </w:r>
      <w:r>
        <w:rPr>
          <w:rFonts w:hint="eastAsia" w:ascii="仿宋_GB2312" w:hAnsi="??" w:eastAsia="仿宋_GB2312"/>
          <w:kern w:val="0"/>
          <w:sz w:val="32"/>
        </w:rPr>
        <w:fldChar w:fldCharType="separate"/>
      </w:r>
      <w:r>
        <w:rPr>
          <w:rFonts w:hint="eastAsia" w:ascii="仿宋_GB2312" w:hAnsi="??" w:eastAsia="仿宋_GB2312"/>
          <w:kern w:val="0"/>
          <w:sz w:val="32"/>
        </w:rPr>
        <w:t>一百九十六条</w:t>
      </w:r>
      <w:r>
        <w:rPr>
          <w:rFonts w:hint="eastAsia" w:ascii="仿宋_GB2312" w:hAnsi="??" w:eastAsia="仿宋_GB2312"/>
          <w:kern w:val="0"/>
          <w:sz w:val="32"/>
        </w:rPr>
        <w:fldChar w:fldCharType="end"/>
      </w:r>
      <w:r>
        <w:rPr>
          <w:rFonts w:hint="eastAsia" w:ascii="仿宋_GB2312" w:hAnsi="??" w:eastAsia="仿宋_GB2312"/>
          <w:kern w:val="0"/>
          <w:sz w:val="32"/>
        </w:rPr>
        <w:t>第一款第（三）项所称“</w:t>
      </w:r>
      <w:r>
        <w:rPr>
          <w:rFonts w:hint="eastAsia" w:ascii="仿宋_GB2312" w:hAnsi="??" w:eastAsia="仿宋_GB2312"/>
          <w:color w:val="000000"/>
          <w:kern w:val="0"/>
          <w:sz w:val="32"/>
        </w:rPr>
        <w:t>冒用他人信用卡”，包括以下情形：</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（一）拾得他人信用卡并使用的；</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（二）骗取他人信用卡并使用的；</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（三）窃取、收买、骗取或者以其他非法方式获取他人信用卡信息资料，并通过互联网、通讯终端等使用的；</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（四）其他冒用他人信用卡的情形。</w:t>
      </w:r>
      <w:r>
        <w:rPr>
          <w:rFonts w:hint="default" w:ascii="仿宋_GB2312" w:hAnsi="??" w:eastAsia="仿宋_GB2312"/>
          <w:color w:val="000000"/>
          <w:kern w:val="0"/>
          <w:sz w:val="32"/>
        </w:rPr>
        <w:br w:type="textWrapping"/>
      </w:r>
    </w:p>
    <w:sectPr>
      <w:footerReference r:id="rId3" w:type="default"/>
      <w:footerReference r:id="rId4" w:type="even"/>
      <w:pgSz w:w="11907" w:h="16840"/>
      <w:pgMar w:top="1701" w:right="1134" w:bottom="1134"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5"/>
        <w:rFonts w:hint="default"/>
        <w:sz w:val="18"/>
      </w:rPr>
    </w:pPr>
    <w:r>
      <w:rPr>
        <w:rStyle w:val="5"/>
        <w:rFonts w:hint="default" w:eastAsia="宋体"/>
        <w:sz w:val="18"/>
      </w:rPr>
      <w:fldChar w:fldCharType="begin"/>
    </w:r>
    <w:r>
      <w:rPr>
        <w:rStyle w:val="5"/>
        <w:rFonts w:hint="default" w:eastAsia="宋体"/>
        <w:sz w:val="18"/>
      </w:rPr>
      <w:instrText xml:space="preserve">PAGE  </w:instrText>
    </w:r>
    <w:r>
      <w:rPr>
        <w:rStyle w:val="5"/>
        <w:rFonts w:hint="default" w:eastAsia="宋体"/>
        <w:sz w:val="18"/>
      </w:rPr>
      <w:fldChar w:fldCharType="separate"/>
    </w:r>
    <w:r>
      <w:rPr>
        <w:rStyle w:val="5"/>
        <w:rFonts w:hint="default" w:eastAsia="宋体"/>
        <w:sz w:val="18"/>
      </w:rPr>
      <w:t>3</w:t>
    </w:r>
    <w:r>
      <w:rPr>
        <w:rStyle w:val="5"/>
        <w:rFonts w:hint="default" w:eastAsia="宋体"/>
        <w:sz w:val="18"/>
      </w:rPr>
      <w:fldChar w:fldCharType="end"/>
    </w:r>
  </w:p>
  <w:p>
    <w:pPr>
      <w:pStyle w:val="3"/>
      <w:spacing w:beforeLines="0" w:afterLines="0"/>
      <w:rPr>
        <w:rFonts w:hint="default" w:eastAsia="Times New Roman"/>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5"/>
        <w:rFonts w:hint="default"/>
        <w:sz w:val="18"/>
      </w:rPr>
    </w:pPr>
    <w:r>
      <w:rPr>
        <w:rStyle w:val="5"/>
        <w:rFonts w:hint="default" w:eastAsia="宋体"/>
        <w:sz w:val="18"/>
      </w:rPr>
      <w:fldChar w:fldCharType="begin"/>
    </w:r>
    <w:r>
      <w:rPr>
        <w:rStyle w:val="5"/>
        <w:rFonts w:hint="default" w:eastAsia="宋体"/>
        <w:sz w:val="18"/>
      </w:rPr>
      <w:instrText xml:space="preserve">PAGE  </w:instrText>
    </w:r>
    <w:r>
      <w:rPr>
        <w:rStyle w:val="5"/>
        <w:rFonts w:hint="default" w:eastAsia="宋体"/>
        <w:sz w:val="18"/>
      </w:rPr>
      <w:fldChar w:fldCharType="separate"/>
    </w:r>
    <w:r>
      <w:rPr>
        <w:rStyle w:val="5"/>
        <w:rFonts w:hint="default" w:eastAsia="宋体"/>
        <w:sz w:val="18"/>
      </w:rPr>
      <w:fldChar w:fldCharType="end"/>
    </w:r>
  </w:p>
  <w:p>
    <w:pPr>
      <w:pStyle w:val="3"/>
      <w:spacing w:beforeLines="0" w:afterLines="0"/>
      <w:rPr>
        <w:rFonts w:hint="default" w:eastAsia="Times New Roman"/>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112C4"/>
    <w:multiLevelType w:val="multilevel"/>
    <w:tmpl w:val="498112C4"/>
    <w:lvl w:ilvl="0" w:tentative="0">
      <w:start w:val="3"/>
      <w:numFmt w:val="japaneseCounting"/>
      <w:lvlText w:val="第%1款"/>
      <w:lvlJc w:val="left"/>
      <w:pPr>
        <w:tabs>
          <w:tab w:val="left" w:pos="3215"/>
        </w:tabs>
        <w:ind w:left="3215" w:hanging="975"/>
      </w:pPr>
      <w:rPr>
        <w:rFonts w:hint="default" w:ascii="仿宋_GB2312" w:eastAsia="仿宋_GB2312"/>
        <w:b/>
        <w:sz w:val="32"/>
        <w:u w:val="none" w:color="auto"/>
      </w:rPr>
    </w:lvl>
    <w:lvl w:ilvl="1" w:tentative="0">
      <w:start w:val="1"/>
      <w:numFmt w:val="lowerLetter"/>
      <w:lvlText w:val="%2)"/>
      <w:lvlJc w:val="left"/>
      <w:pPr>
        <w:tabs>
          <w:tab w:val="left" w:pos="3080"/>
        </w:tabs>
        <w:ind w:left="3080" w:hanging="420"/>
      </w:pPr>
      <w:rPr>
        <w:rFonts w:hint="default" w:ascii="Times New Roman"/>
        <w:u w:val="none" w:color="auto"/>
      </w:rPr>
    </w:lvl>
    <w:lvl w:ilvl="2" w:tentative="0">
      <w:start w:val="1"/>
      <w:numFmt w:val="lowerRoman"/>
      <w:lvlText w:val="%3."/>
      <w:lvlJc w:val="right"/>
      <w:pPr>
        <w:tabs>
          <w:tab w:val="left" w:pos="3500"/>
        </w:tabs>
        <w:ind w:left="3500" w:hanging="420"/>
      </w:pPr>
      <w:rPr>
        <w:rFonts w:hint="default" w:ascii="Times New Roman"/>
        <w:u w:val="none" w:color="auto"/>
      </w:rPr>
    </w:lvl>
    <w:lvl w:ilvl="3" w:tentative="0">
      <w:start w:val="1"/>
      <w:numFmt w:val="decimal"/>
      <w:lvlText w:val="%4."/>
      <w:lvlJc w:val="left"/>
      <w:pPr>
        <w:tabs>
          <w:tab w:val="left" w:pos="3920"/>
        </w:tabs>
        <w:ind w:left="3920" w:hanging="420"/>
      </w:pPr>
      <w:rPr>
        <w:rFonts w:hint="default" w:ascii="Times New Roman"/>
        <w:u w:val="none" w:color="auto"/>
      </w:rPr>
    </w:lvl>
    <w:lvl w:ilvl="4" w:tentative="0">
      <w:start w:val="1"/>
      <w:numFmt w:val="lowerLetter"/>
      <w:lvlText w:val="%5)"/>
      <w:lvlJc w:val="left"/>
      <w:pPr>
        <w:tabs>
          <w:tab w:val="left" w:pos="4340"/>
        </w:tabs>
        <w:ind w:left="4340" w:hanging="420"/>
      </w:pPr>
      <w:rPr>
        <w:rFonts w:hint="default" w:ascii="Times New Roman"/>
        <w:u w:val="none" w:color="auto"/>
      </w:rPr>
    </w:lvl>
    <w:lvl w:ilvl="5" w:tentative="0">
      <w:start w:val="1"/>
      <w:numFmt w:val="lowerRoman"/>
      <w:lvlText w:val="%6."/>
      <w:lvlJc w:val="right"/>
      <w:pPr>
        <w:tabs>
          <w:tab w:val="left" w:pos="4760"/>
        </w:tabs>
        <w:ind w:left="4760" w:hanging="420"/>
      </w:pPr>
      <w:rPr>
        <w:rFonts w:hint="default" w:ascii="Times New Roman"/>
        <w:u w:val="none" w:color="auto"/>
      </w:rPr>
    </w:lvl>
    <w:lvl w:ilvl="6" w:tentative="0">
      <w:start w:val="1"/>
      <w:numFmt w:val="decimal"/>
      <w:lvlText w:val="%7."/>
      <w:lvlJc w:val="left"/>
      <w:pPr>
        <w:tabs>
          <w:tab w:val="left" w:pos="5180"/>
        </w:tabs>
        <w:ind w:left="5180" w:hanging="420"/>
      </w:pPr>
      <w:rPr>
        <w:rFonts w:hint="default" w:ascii="Times New Roman"/>
        <w:u w:val="none" w:color="auto"/>
      </w:rPr>
    </w:lvl>
    <w:lvl w:ilvl="7" w:tentative="0">
      <w:start w:val="1"/>
      <w:numFmt w:val="lowerLetter"/>
      <w:lvlText w:val="%8)"/>
      <w:lvlJc w:val="left"/>
      <w:pPr>
        <w:tabs>
          <w:tab w:val="left" w:pos="5600"/>
        </w:tabs>
        <w:ind w:left="5600" w:hanging="420"/>
      </w:pPr>
      <w:rPr>
        <w:rFonts w:hint="default" w:ascii="Times New Roman"/>
        <w:u w:val="none" w:color="auto"/>
      </w:rPr>
    </w:lvl>
    <w:lvl w:ilvl="8" w:tentative="0">
      <w:start w:val="1"/>
      <w:numFmt w:val="lowerRoman"/>
      <w:lvlText w:val="%9."/>
      <w:lvlJc w:val="right"/>
      <w:pPr>
        <w:tabs>
          <w:tab w:val="left" w:pos="6020"/>
        </w:tabs>
        <w:ind w:left="6020" w:hanging="420"/>
      </w:pPr>
      <w:rPr>
        <w:rFonts w:hint="default" w:ascii="Times New Roman"/>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971218E"/>
    <w:rsid w:val="23BF2853"/>
    <w:rsid w:val="55705366"/>
    <w:rsid w:val="693A46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4">
    <w:name w:val="Default Paragraph Font"/>
    <w:unhideWhenUsed/>
    <w:uiPriority w:val="99"/>
    <w:rPr>
      <w:rFonts w:hint="default"/>
      <w:sz w:val="24"/>
    </w:rPr>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unhideWhenUsed/>
    <w:uiPriority w:val="99"/>
    <w:pPr>
      <w:spacing w:beforeLines="0" w:afterLines="0"/>
    </w:pPr>
    <w:rPr>
      <w:rFonts w:hint="eastAsia" w:ascii="宋体" w:hAnsi="Courier New"/>
      <w:sz w:val="21"/>
    </w:rPr>
  </w:style>
  <w:style w:type="paragraph" w:styleId="3">
    <w:name w:val="footer"/>
    <w:basedOn w:val="1"/>
    <w:unhideWhenUsed/>
    <w:uiPriority w:val="99"/>
    <w:pPr>
      <w:tabs>
        <w:tab w:val="center" w:pos="4153"/>
        <w:tab w:val="right" w:pos="8306"/>
      </w:tabs>
      <w:snapToGrid w:val="0"/>
      <w:spacing w:beforeLines="0" w:afterLines="0"/>
      <w:jc w:val="left"/>
    </w:pPr>
    <w:rPr>
      <w:rFonts w:hint="eastAsia"/>
      <w:sz w:val="18"/>
    </w:rPr>
  </w:style>
  <w:style w:type="character" w:styleId="5">
    <w:name w:val="page number"/>
    <w:basedOn w:val="4"/>
    <w:unhideWhenUsed/>
    <w:uiPriority w:val="99"/>
    <w:rPr>
      <w:rFonts w:hint="default" w:ascii="Times New Roman"/>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