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800" w:lineRule="exact"/>
        <w:jc w:val="center"/>
        <w:rPr>
          <w:rFonts w:hint="eastAsia"/>
        </w:rPr>
      </w:pPr>
      <w:bookmarkStart w:id="1" w:name="_GoBack"/>
      <w:bookmarkEnd w:id="1"/>
      <w:r>
        <w:rPr>
          <w:rFonts w:hint="eastAsia"/>
          <w:sz w:val="44"/>
          <w:szCs w:val="44"/>
        </w:rPr>
        <w:t>天津市宁河县人民法院</w:t>
      </w:r>
    </w:p>
    <w:p>
      <w:pPr>
        <w:autoSpaceDE w:val="0"/>
        <w:autoSpaceDN w:val="0"/>
        <w:adjustRightInd w:val="0"/>
        <w:spacing w:line="800" w:lineRule="exact"/>
        <w:jc w:val="center"/>
        <w:rPr>
          <w:rFonts w:hint="eastAsia" w:ascii="宋体" w:hAnsi="宋体"/>
          <w:b/>
          <w:spacing w:val="50"/>
          <w:sz w:val="52"/>
          <w:szCs w:val="52"/>
        </w:rPr>
      </w:pPr>
      <w:r>
        <w:rPr>
          <w:rFonts w:hint="eastAsia" w:ascii="宋体" w:hAnsi="宋体"/>
          <w:b/>
          <w:bCs/>
          <w:spacing w:val="50"/>
          <w:sz w:val="52"/>
          <w:szCs w:val="52"/>
        </w:rPr>
        <w:t xml:space="preserve"> 刑 事 判 决 书</w:t>
      </w:r>
    </w:p>
    <w:p>
      <w:pPr>
        <w:autoSpaceDE w:val="0"/>
        <w:autoSpaceDN w:val="0"/>
        <w:adjustRightInd w:val="0"/>
        <w:spacing w:line="520" w:lineRule="exact"/>
        <w:rPr>
          <w:rFonts w:hint="eastAsia"/>
        </w:rPr>
      </w:pPr>
    </w:p>
    <w:p>
      <w:pPr>
        <w:autoSpaceDE w:val="0"/>
        <w:autoSpaceDN w:val="0"/>
        <w:adjustRightInd w:val="0"/>
        <w:spacing w:line="520" w:lineRule="exact"/>
        <w:jc w:val="right"/>
        <w:rPr>
          <w:rFonts w:hint="eastAsia"/>
        </w:rPr>
      </w:pPr>
      <w:r>
        <w:rPr>
          <w:rFonts w:hint="eastAsia"/>
        </w:rPr>
        <w:t xml:space="preserve">(2014)宁刑初字第238号 </w:t>
      </w:r>
    </w:p>
    <w:p>
      <w:pPr>
        <w:autoSpaceDE w:val="0"/>
        <w:autoSpaceDN w:val="0"/>
        <w:adjustRightInd w:val="0"/>
        <w:spacing w:line="520" w:lineRule="exact"/>
        <w:rPr>
          <w:rFonts w:hint="eastAsia"/>
        </w:rPr>
      </w:pPr>
    </w:p>
    <w:p>
      <w:pPr>
        <w:autoSpaceDE w:val="0"/>
        <w:autoSpaceDN w:val="0"/>
        <w:adjustRightInd w:val="0"/>
        <w:spacing w:line="520" w:lineRule="exact"/>
        <w:ind w:right="58" w:rightChars="18" w:firstLine="660"/>
        <w:rPr>
          <w:rFonts w:hint="eastAsia"/>
        </w:rPr>
      </w:pPr>
      <w:r>
        <w:rPr>
          <w:rFonts w:hint="eastAsia"/>
        </w:rPr>
        <w:t>公诉机关宁河县人民检察院。</w:t>
      </w:r>
    </w:p>
    <w:p>
      <w:pPr>
        <w:autoSpaceDE w:val="0"/>
        <w:autoSpaceDN w:val="0"/>
        <w:adjustRightInd w:val="0"/>
        <w:spacing w:line="520" w:lineRule="exact"/>
        <w:ind w:firstLine="640" w:firstLineChars="200"/>
        <w:rPr>
          <w:rFonts w:hint="eastAsia"/>
        </w:rPr>
      </w:pPr>
      <w:r>
        <w:rPr>
          <w:rFonts w:hint="eastAsia"/>
        </w:rPr>
        <w:t>被告人苏双，女，1991年8月5日出生，汉族，中专文化，护士，住天津市宁河县芦台镇沿河路春祥里1排11号（户籍地为天津市宁河县丰台镇南村丰新街东1排2号）。2014年6月17日因涉嫌信用卡诈骗罪被天津市公安局宁河分局取保候审。现在居住地候审。</w:t>
      </w:r>
    </w:p>
    <w:p>
      <w:pPr>
        <w:autoSpaceDE w:val="0"/>
        <w:autoSpaceDN w:val="0"/>
        <w:adjustRightInd w:val="0"/>
        <w:spacing w:line="520" w:lineRule="exact"/>
        <w:ind w:firstLine="640" w:firstLineChars="200"/>
        <w:rPr>
          <w:rFonts w:hint="eastAsia"/>
        </w:rPr>
      </w:pPr>
      <w:r>
        <w:rPr>
          <w:rFonts w:hint="eastAsia"/>
        </w:rPr>
        <w:t>宁河县人民检察院以津宁检公诉刑诉[2014]146号起诉书指控被告人苏双犯信用卡诈骗罪，于2014年8月19日向本院提起公诉，并建议适用简易程序审理。本院依法适用简易程序，组成合议庭，公开开庭进行了审理。宁河县人民检察院指派代理检察员王海洋出庭支持公诉，被告人</w:t>
      </w:r>
      <w:r>
        <w:rPr>
          <w:rFonts w:hint="eastAsia" w:hAnsi="宋体" w:cs="宋体"/>
        </w:rPr>
        <w:t>苏双</w:t>
      </w:r>
      <w:r>
        <w:rPr>
          <w:rFonts w:hint="eastAsia"/>
        </w:rPr>
        <w:t>到庭参加诉讼。现已审理终结。</w:t>
      </w:r>
    </w:p>
    <w:p>
      <w:pPr>
        <w:spacing w:line="520" w:lineRule="exact"/>
        <w:ind w:firstLine="640" w:firstLineChars="200"/>
        <w:rPr>
          <w:rFonts w:hint="eastAsia"/>
        </w:rPr>
      </w:pPr>
      <w:r>
        <w:rPr>
          <w:rFonts w:hint="eastAsia"/>
        </w:rPr>
        <w:t>宁河县人民检察院指控，2013年1月24日，被告人苏双用本人的身份信息等资料在中国中信银行天津分行办理信用卡一张（卡号为：6226890029025102610）。2013年10月31日被告人苏双最后一次还款后未再还款，后经中信银行多次催缴后仍未还款。截止2014年5月21日被告人苏双持该卡欠银行本金人民币14194.36元。</w:t>
      </w:r>
    </w:p>
    <w:p>
      <w:pPr>
        <w:spacing w:line="520" w:lineRule="exact"/>
        <w:ind w:firstLine="640" w:firstLineChars="200"/>
        <w:rPr>
          <w:rFonts w:hint="eastAsia"/>
        </w:rPr>
      </w:pPr>
      <w:r>
        <w:rPr>
          <w:rFonts w:hint="eastAsia"/>
        </w:rPr>
        <w:t>案发后，被告人苏双偿还了全部银行透支款息，赔偿了银行的经济损失。</w:t>
      </w:r>
    </w:p>
    <w:p>
      <w:pPr>
        <w:spacing w:line="520" w:lineRule="exact"/>
        <w:ind w:firstLine="640" w:firstLineChars="200"/>
        <w:rPr>
          <w:rFonts w:hint="eastAsia"/>
        </w:rPr>
      </w:pPr>
      <w:r>
        <w:rPr>
          <w:rFonts w:hint="eastAsia"/>
        </w:rPr>
        <w:t>公诉机关为证明上述事实出示的证据如下：1.信用卡账户交易明细等书证；</w:t>
      </w:r>
      <w:r>
        <w:rPr>
          <w:rFonts w:hint="eastAsia"/>
          <w:kern w:val="13"/>
        </w:rPr>
        <w:t>2.被告人供述和辩解;3.案件来源及到案经过等。公诉机关</w:t>
      </w:r>
      <w:r>
        <w:rPr>
          <w:rFonts w:hint="eastAsia"/>
        </w:rPr>
        <w:t>认为被告人苏双的行为已构成信用卡诈骗罪，请求依法判处。鉴于被告人苏双已将欠款全部归还，建议判处其有期徒刑六个月至一年六个月，并处罚金，可适用缓刑。</w:t>
      </w:r>
    </w:p>
    <w:p>
      <w:pPr>
        <w:autoSpaceDE w:val="0"/>
        <w:autoSpaceDN w:val="0"/>
        <w:adjustRightInd w:val="0"/>
        <w:spacing w:line="520" w:lineRule="exact"/>
        <w:ind w:firstLine="645"/>
        <w:jc w:val="left"/>
        <w:rPr>
          <w:rFonts w:hint="eastAsia"/>
        </w:rPr>
      </w:pPr>
      <w:r>
        <w:rPr>
          <w:rFonts w:hint="eastAsia"/>
        </w:rPr>
        <w:t>被告人苏双对</w:t>
      </w:r>
      <w:r>
        <w:rPr>
          <w:rFonts w:hint="eastAsia" w:cs="仿宋_GB2312"/>
        </w:rPr>
        <w:t>公诉机关的指控未提出</w:t>
      </w:r>
      <w:r>
        <w:rPr>
          <w:rFonts w:hint="eastAsia"/>
        </w:rPr>
        <w:t xml:space="preserve">辩解意见，对量刑建议亦无异议。 </w:t>
      </w:r>
    </w:p>
    <w:p>
      <w:pPr>
        <w:spacing w:line="520" w:lineRule="exact"/>
        <w:ind w:firstLine="640" w:firstLineChars="200"/>
        <w:rPr>
          <w:rFonts w:hint="eastAsia"/>
        </w:rPr>
      </w:pPr>
      <w:r>
        <w:rPr>
          <w:rFonts w:hint="eastAsia"/>
        </w:rPr>
        <w:t>经审理查明，2013年1月24日，被告人苏双用本人的身份信息等资料在中国中信银行天津分行办理卡号为6226890029025102610的信用卡一张，后使用该卡透支用于个人消费。2013年10月31日，苏双最后一次还款后未再还款，后经中信银行多次催缴后超过三个月仍未归还欠款。截至2014年5月21日，苏双持该卡欠银行本金人民币14194.36元。</w:t>
      </w:r>
    </w:p>
    <w:p>
      <w:pPr>
        <w:spacing w:line="520" w:lineRule="exact"/>
        <w:ind w:firstLine="640" w:firstLineChars="200"/>
        <w:rPr>
          <w:rFonts w:hint="eastAsia"/>
        </w:rPr>
      </w:pPr>
      <w:r>
        <w:rPr>
          <w:rFonts w:hint="eastAsia"/>
        </w:rPr>
        <w:t>2014年6月17日，被告人苏双偿还了全部银行透支款息共计人民币18000元。</w:t>
      </w:r>
    </w:p>
    <w:p>
      <w:pPr>
        <w:autoSpaceDE w:val="0"/>
        <w:autoSpaceDN w:val="0"/>
        <w:adjustRightInd w:val="0"/>
        <w:spacing w:line="520" w:lineRule="exact"/>
        <w:ind w:firstLine="640" w:firstLineChars="200"/>
        <w:jc w:val="left"/>
        <w:rPr>
          <w:rFonts w:hint="eastAsia"/>
        </w:rPr>
      </w:pPr>
      <w:r>
        <w:rPr>
          <w:rFonts w:hint="eastAsia"/>
        </w:rPr>
        <w:t>上述事实，有经庭审举证、质证，本院予以确认的下列证据予以证明：</w:t>
      </w:r>
    </w:p>
    <w:p>
      <w:pPr>
        <w:spacing w:line="520" w:lineRule="exact"/>
        <w:ind w:firstLine="640" w:firstLineChars="200"/>
        <w:rPr>
          <w:rFonts w:hint="eastAsia"/>
        </w:rPr>
      </w:pPr>
      <w:r>
        <w:rPr>
          <w:rFonts w:hint="eastAsia"/>
        </w:rPr>
        <w:t>1.中信银行信用卡申请表、中信银行信用卡中心催收账户交易流水、中信银行信用卡中心催收情况详单、归还欠款的中信银行业务回单等；</w:t>
      </w:r>
    </w:p>
    <w:p>
      <w:pPr>
        <w:spacing w:line="520" w:lineRule="exact"/>
        <w:ind w:firstLine="640" w:firstLineChars="200"/>
        <w:rPr>
          <w:rFonts w:hint="eastAsia"/>
        </w:rPr>
      </w:pPr>
      <w:r>
        <w:rPr>
          <w:rFonts w:hint="eastAsia"/>
        </w:rPr>
        <w:t>2.被告人主体身份证明、前科证明材料、案件来源及到案经过；</w:t>
      </w:r>
    </w:p>
    <w:p>
      <w:pPr>
        <w:spacing w:line="520" w:lineRule="exact"/>
        <w:ind w:firstLine="640" w:firstLineChars="200"/>
        <w:rPr>
          <w:rFonts w:hint="eastAsia"/>
        </w:rPr>
      </w:pPr>
      <w:r>
        <w:rPr>
          <w:rFonts w:hint="eastAsia"/>
        </w:rPr>
        <w:t>3.被告人供述和辩解。</w:t>
      </w:r>
    </w:p>
    <w:p>
      <w:pPr>
        <w:autoSpaceDE w:val="0"/>
        <w:autoSpaceDN w:val="0"/>
        <w:adjustRightInd w:val="0"/>
        <w:spacing w:line="520" w:lineRule="exact"/>
        <w:ind w:firstLine="645"/>
        <w:rPr>
          <w:rFonts w:hint="eastAsia"/>
        </w:rPr>
      </w:pPr>
      <w:r>
        <w:rPr>
          <w:rFonts w:hint="eastAsia"/>
        </w:rPr>
        <w:t>本院认为，被告人</w:t>
      </w:r>
      <w:r>
        <w:rPr>
          <w:rFonts w:hint="eastAsia" w:hAnsi="宋体" w:cs="宋体"/>
        </w:rPr>
        <w:t>苏双以非法占有为目的，超过规定期限透支，并且经发卡银行多次催收后</w:t>
      </w:r>
      <w:r>
        <w:rPr>
          <w:rFonts w:hint="eastAsia"/>
        </w:rPr>
        <w:t>超过三个月仍不归还欠款，数额较大，其行为已构成信用卡诈骗罪。公诉机关指控被告人苏双犯信用卡诈骗罪的事实清楚，证据确实、充分，指控的罪名成立，本院对其指控予以支持。被告人苏双</w:t>
      </w:r>
      <w:r>
        <w:rPr>
          <w:rFonts w:hint="eastAsia" w:hAnsi="Verdana" w:cs="宋体"/>
        </w:rPr>
        <w:t>在案发后积极归还欠款，在一定程度上降低了其犯罪行为的社会危害性，对此酌定从轻处罚情节，本院在对其量刑时综合予以考虑。公诉机关提出的量刑建议适当，本院予以采纳。</w:t>
      </w:r>
      <w:r>
        <w:rPr>
          <w:rFonts w:hint="eastAsia"/>
        </w:rPr>
        <w:t>据此，依照《中华人民共和国刑法》第一百九十六条第一款第（四）项、第二款、第七十二条第一款、第七十六条</w:t>
      </w:r>
      <w:r>
        <w:rPr>
          <w:rFonts w:hint="eastAsia" w:hAnsi="Verdana" w:cs="宋体"/>
        </w:rPr>
        <w:t>的规定，判决如下</w:t>
      </w:r>
      <w:r>
        <w:rPr>
          <w:rFonts w:hint="eastAsia"/>
        </w:rPr>
        <w:t>：</w:t>
      </w:r>
    </w:p>
    <w:p>
      <w:pPr>
        <w:snapToGrid w:val="0"/>
        <w:spacing w:line="520" w:lineRule="exact"/>
        <w:ind w:left="154" w:leftChars="48" w:firstLine="640" w:firstLineChars="200"/>
        <w:jc w:val="left"/>
        <w:rPr>
          <w:rFonts w:hint="eastAsia"/>
        </w:rPr>
      </w:pPr>
      <w:r>
        <w:rPr>
          <w:rFonts w:hint="eastAsia"/>
          <w:szCs w:val="30"/>
        </w:rPr>
        <w:t>被告人</w:t>
      </w:r>
      <w:r>
        <w:rPr>
          <w:rFonts w:hint="eastAsia" w:hAnsi="宋体" w:cs="宋体"/>
        </w:rPr>
        <w:t>苏双</w:t>
      </w:r>
      <w:r>
        <w:rPr>
          <w:rFonts w:hint="eastAsia"/>
        </w:rPr>
        <w:t>犯信用卡诈骗罪，判处有期徒刑六个月，缓刑一年，并处罚金20000元（缓刑考验期自判决确定之日起计算。对</w:t>
      </w:r>
      <w:r>
        <w:t>宣告缓刑的犯罪分子，在缓刑考验期限内，</w:t>
      </w:r>
      <w:r>
        <w:rPr>
          <w:rFonts w:hint="eastAsia"/>
        </w:rPr>
        <w:t>依法实行社区矫正）。</w:t>
      </w:r>
    </w:p>
    <w:p>
      <w:pPr>
        <w:autoSpaceDE w:val="0"/>
        <w:autoSpaceDN w:val="0"/>
        <w:adjustRightInd w:val="0"/>
        <w:spacing w:line="520" w:lineRule="exact"/>
        <w:ind w:firstLine="640" w:firstLineChars="200"/>
        <w:jc w:val="left"/>
        <w:rPr>
          <w:rFonts w:hint="eastAsia"/>
        </w:rPr>
      </w:pPr>
      <w:r>
        <w:rPr>
          <w:rFonts w:hint="eastAsia"/>
        </w:rPr>
        <w:t>上述罚金于判决生效后十日内缴纳。</w:t>
      </w:r>
    </w:p>
    <w:p>
      <w:pPr>
        <w:autoSpaceDE w:val="0"/>
        <w:autoSpaceDN w:val="0"/>
        <w:adjustRightInd w:val="0"/>
        <w:spacing w:line="520" w:lineRule="exact"/>
        <w:ind w:firstLine="645"/>
        <w:rPr>
          <w:rFonts w:hint="eastAsia"/>
        </w:rPr>
      </w:pPr>
      <w:r>
        <w:rPr>
          <w:rFonts w:hint="eastAsia"/>
        </w:rPr>
        <w:t>如不服本判决，可在接到本判决书的第二日起十日内，通过本院或者直接向天津市第二中级人民法院提出上诉。书面上诉的，应提交上诉状正本一份，副本一份。</w:t>
      </w:r>
    </w:p>
    <w:p>
      <w:pPr>
        <w:autoSpaceDE w:val="0"/>
        <w:autoSpaceDN w:val="0"/>
        <w:adjustRightInd w:val="0"/>
        <w:spacing w:line="520" w:lineRule="exact"/>
        <w:ind w:firstLine="5925"/>
        <w:jc w:val="right"/>
        <w:rPr>
          <w:rFonts w:hint="eastAsia"/>
        </w:rPr>
      </w:pPr>
    </w:p>
    <w:p>
      <w:pPr>
        <w:autoSpaceDE w:val="0"/>
        <w:autoSpaceDN w:val="0"/>
        <w:adjustRightInd w:val="0"/>
        <w:spacing w:line="520" w:lineRule="exact"/>
        <w:jc w:val="right"/>
        <w:rPr>
          <w:rFonts w:hint="eastAsia"/>
        </w:rPr>
      </w:pPr>
      <w:r>
        <w:rPr>
          <w:rFonts w:hint="eastAsia"/>
        </w:rPr>
        <w:t>审  判  长：李洪文</w:t>
      </w:r>
    </w:p>
    <w:p>
      <w:pPr>
        <w:autoSpaceDE w:val="0"/>
        <w:autoSpaceDN w:val="0"/>
        <w:adjustRightInd w:val="0"/>
        <w:spacing w:line="520" w:lineRule="exact"/>
        <w:jc w:val="right"/>
        <w:rPr>
          <w:rFonts w:hint="eastAsia"/>
        </w:rPr>
      </w:pPr>
      <w:r>
        <w:rPr>
          <w:rFonts w:hint="eastAsia"/>
        </w:rPr>
        <w:t>代理审判员：张妮娜</w:t>
      </w:r>
    </w:p>
    <w:p>
      <w:pPr>
        <w:autoSpaceDE w:val="0"/>
        <w:autoSpaceDN w:val="0"/>
        <w:adjustRightInd w:val="0"/>
        <w:spacing w:line="520" w:lineRule="exact"/>
        <w:jc w:val="right"/>
        <w:rPr>
          <w:rFonts w:hint="eastAsia"/>
        </w:rPr>
      </w:pPr>
      <w:r>
        <w:rPr>
          <w:rFonts w:hint="eastAsia"/>
        </w:rPr>
        <w:t>人民陪审员: 马会英</w:t>
      </w:r>
    </w:p>
    <w:p>
      <w:pPr>
        <w:autoSpaceDE w:val="0"/>
        <w:autoSpaceDN w:val="0"/>
        <w:adjustRightInd w:val="0"/>
        <w:spacing w:line="520" w:lineRule="exact"/>
        <w:jc w:val="right"/>
        <w:rPr>
          <w:rFonts w:hint="eastAsia"/>
        </w:rPr>
      </w:pPr>
    </w:p>
    <w:p>
      <w:pPr>
        <w:autoSpaceDE w:val="0"/>
        <w:autoSpaceDN w:val="0"/>
        <w:adjustRightInd w:val="0"/>
        <w:spacing w:line="520" w:lineRule="exact"/>
        <w:jc w:val="right"/>
        <w:rPr>
          <w:rFonts w:hint="eastAsia"/>
        </w:rPr>
      </w:pPr>
      <w:r>
        <w:rPr>
          <w:rFonts w:hint="eastAsia"/>
        </w:rPr>
        <w:t xml:space="preserve">                             二</w:t>
      </w:r>
      <w:r>
        <w:rPr>
          <w:rFonts w:hint="eastAsia" w:ascii="宋体" w:hAnsi="宋体" w:eastAsia="宋体" w:cs="宋体"/>
        </w:rPr>
        <w:t>〇</w:t>
      </w:r>
      <w:r>
        <w:rPr>
          <w:rFonts w:hint="eastAsia"/>
        </w:rPr>
        <w:t>一四年九月二十二日</w:t>
      </w:r>
    </w:p>
    <w:p>
      <w:pPr>
        <w:autoSpaceDE w:val="0"/>
        <w:autoSpaceDN w:val="0"/>
        <w:adjustRightInd w:val="0"/>
        <w:spacing w:line="520" w:lineRule="exact"/>
        <w:jc w:val="right"/>
        <w:rPr>
          <w:rFonts w:hint="eastAsia"/>
        </w:rPr>
      </w:pPr>
    </w:p>
    <w:p>
      <w:pPr>
        <w:autoSpaceDE w:val="0"/>
        <w:autoSpaceDN w:val="0"/>
        <w:adjustRightInd w:val="0"/>
        <w:spacing w:line="520" w:lineRule="exact"/>
        <w:jc w:val="right"/>
        <w:rPr>
          <w:rFonts w:hint="eastAsia" w:ascii="宋体" w:hAnsi="宋体" w:cs="宋体"/>
          <w:b/>
          <w:sz w:val="24"/>
          <w:szCs w:val="24"/>
        </w:rPr>
      </w:pPr>
      <w:r>
        <w:rPr>
          <w:rFonts w:hint="eastAsia"/>
        </w:rPr>
        <w:t>书  记  员：张增健</w:t>
      </w:r>
    </w:p>
    <w:p>
      <w:pPr>
        <w:autoSpaceDE w:val="0"/>
        <w:autoSpaceDN w:val="0"/>
        <w:adjustRightInd w:val="0"/>
        <w:spacing w:line="360" w:lineRule="exact"/>
        <w:ind w:right="18"/>
        <w:rPr>
          <w:rFonts w:hint="eastAsia" w:hAnsi="ˎ̥"/>
          <w:b/>
          <w:color w:val="000000"/>
          <w:sz w:val="28"/>
          <w:szCs w:val="28"/>
        </w:rPr>
      </w:pPr>
    </w:p>
    <w:p>
      <w:pPr>
        <w:autoSpaceDE w:val="0"/>
        <w:autoSpaceDN w:val="0"/>
        <w:adjustRightInd w:val="0"/>
        <w:spacing w:line="360" w:lineRule="exact"/>
        <w:ind w:right="18"/>
        <w:rPr>
          <w:rFonts w:hint="eastAsia" w:ascii="宋体" w:hAnsi="宋体" w:cs="宋体"/>
          <w:sz w:val="21"/>
          <w:szCs w:val="21"/>
        </w:rPr>
      </w:pPr>
      <w:r>
        <w:rPr>
          <w:rFonts w:hint="eastAsia" w:hAnsi="ˎ̥"/>
          <w:b/>
          <w:color w:val="000000"/>
          <w:sz w:val="28"/>
          <w:szCs w:val="28"/>
        </w:rPr>
        <w:t>附:《中华人民共和国刑法》</w:t>
      </w:r>
    </w:p>
    <w:p>
      <w:pPr>
        <w:autoSpaceDE w:val="0"/>
        <w:autoSpaceDN w:val="0"/>
        <w:adjustRightInd w:val="0"/>
        <w:spacing w:line="320" w:lineRule="exact"/>
        <w:ind w:right="18" w:firstLine="411" w:firstLineChars="196"/>
        <w:rPr>
          <w:rFonts w:hint="eastAsia" w:ascii="宋体" w:hAnsi="宋体" w:cs="宋体"/>
          <w:sz w:val="21"/>
          <w:szCs w:val="21"/>
        </w:rPr>
      </w:pPr>
      <w:bookmarkStart w:id="0" w:name="73"/>
      <w:bookmarkEnd w:id="0"/>
    </w:p>
    <w:p>
      <w:pPr>
        <w:autoSpaceDE w:val="0"/>
        <w:autoSpaceDN w:val="0"/>
        <w:adjustRightInd w:val="0"/>
        <w:spacing w:line="320" w:lineRule="exact"/>
        <w:ind w:right="18" w:firstLine="413" w:firstLineChars="196"/>
        <w:rPr>
          <w:rFonts w:hint="eastAsia" w:ascii="宋体" w:hAnsi="宋体" w:cs="宋体"/>
          <w:sz w:val="21"/>
          <w:szCs w:val="21"/>
        </w:rPr>
      </w:pPr>
      <w:r>
        <w:rPr>
          <w:rFonts w:hint="eastAsia" w:ascii="宋体" w:hAnsi="宋体" w:cs="宋体"/>
          <w:b/>
          <w:sz w:val="21"/>
          <w:szCs w:val="21"/>
        </w:rPr>
        <w:t>第一百九十六条</w:t>
      </w:r>
      <w:r>
        <w:rPr>
          <w:rFonts w:hint="eastAsia" w:ascii="宋体" w:hAnsi="宋体" w:cs="宋体"/>
          <w:sz w:val="21"/>
          <w:szCs w:val="21"/>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宋体" w:hAnsi="宋体" w:cs="宋体"/>
          <w:sz w:val="21"/>
          <w:szCs w:val="21"/>
        </w:rPr>
        <w:br w:type="textWrapping"/>
      </w:r>
      <w:r>
        <w:rPr>
          <w:rFonts w:hint="eastAsia" w:ascii="宋体" w:hAnsi="宋体" w:cs="宋体"/>
          <w:sz w:val="21"/>
          <w:szCs w:val="21"/>
        </w:rPr>
        <w:t>　　（一）使用伪造的信用卡，或者使用以虚假的身份证明骗领的信用卡的；</w:t>
      </w:r>
      <w:r>
        <w:rPr>
          <w:rFonts w:hint="eastAsia" w:ascii="宋体" w:hAnsi="宋体" w:cs="宋体"/>
          <w:sz w:val="21"/>
          <w:szCs w:val="21"/>
        </w:rPr>
        <w:br w:type="textWrapping"/>
      </w:r>
      <w:r>
        <w:rPr>
          <w:rFonts w:hint="eastAsia" w:ascii="宋体" w:hAnsi="宋体" w:cs="宋体"/>
          <w:sz w:val="21"/>
          <w:szCs w:val="21"/>
        </w:rPr>
        <w:t>　　（二）使用作废的信用卡的；</w:t>
      </w:r>
      <w:r>
        <w:rPr>
          <w:rFonts w:hint="eastAsia" w:ascii="宋体" w:hAnsi="宋体" w:cs="宋体"/>
          <w:sz w:val="21"/>
          <w:szCs w:val="21"/>
        </w:rPr>
        <w:br w:type="textWrapping"/>
      </w:r>
      <w:r>
        <w:rPr>
          <w:rFonts w:hint="eastAsia" w:ascii="宋体" w:hAnsi="宋体" w:cs="宋体"/>
          <w:sz w:val="21"/>
          <w:szCs w:val="21"/>
        </w:rPr>
        <w:t>　　（三）冒用他人信用卡的；</w:t>
      </w:r>
      <w:r>
        <w:rPr>
          <w:rFonts w:hint="eastAsia" w:ascii="宋体" w:hAnsi="宋体" w:cs="宋体"/>
          <w:sz w:val="21"/>
          <w:szCs w:val="21"/>
        </w:rPr>
        <w:br w:type="textWrapping"/>
      </w:r>
      <w:r>
        <w:rPr>
          <w:rFonts w:hint="eastAsia" w:ascii="宋体" w:hAnsi="宋体" w:cs="宋体"/>
          <w:sz w:val="21"/>
          <w:szCs w:val="21"/>
        </w:rPr>
        <w:t>　　（四）恶意透支的。</w:t>
      </w:r>
      <w:r>
        <w:rPr>
          <w:rFonts w:hint="eastAsia" w:ascii="宋体" w:hAnsi="宋体" w:cs="宋体"/>
          <w:sz w:val="21"/>
          <w:szCs w:val="21"/>
        </w:rPr>
        <w:br w:type="textWrapping"/>
      </w:r>
      <w:r>
        <w:rPr>
          <w:rFonts w:hint="eastAsia" w:ascii="宋体" w:hAnsi="宋体" w:cs="宋体"/>
          <w:sz w:val="21"/>
          <w:szCs w:val="21"/>
        </w:rPr>
        <w:t>　　前款所称恶意透支，是指持卡人以非法占有为目的，超过规定限额或者规定期限透支，并且经发卡银行催收后仍不归还的行为。</w:t>
      </w:r>
      <w:r>
        <w:rPr>
          <w:rFonts w:hint="eastAsia" w:ascii="宋体" w:hAnsi="宋体" w:cs="宋体"/>
          <w:sz w:val="21"/>
          <w:szCs w:val="21"/>
        </w:rPr>
        <w:br w:type="textWrapping"/>
      </w:r>
      <w:r>
        <w:rPr>
          <w:rFonts w:hint="eastAsia" w:ascii="宋体" w:hAnsi="宋体" w:cs="宋体"/>
          <w:sz w:val="21"/>
          <w:szCs w:val="21"/>
        </w:rPr>
        <w:t>　　盗窃信用卡并使用的，依照本法第二百六十四条的规定定罪处罚。</w:t>
      </w:r>
    </w:p>
    <w:p>
      <w:pPr>
        <w:autoSpaceDE w:val="0"/>
        <w:autoSpaceDN w:val="0"/>
        <w:adjustRightInd w:val="0"/>
        <w:spacing w:line="320" w:lineRule="exact"/>
        <w:ind w:right="18" w:firstLine="413" w:firstLineChars="196"/>
        <w:rPr>
          <w:rFonts w:ascii="宋体" w:hAnsi="宋体" w:cs="宋体"/>
          <w:sz w:val="21"/>
          <w:szCs w:val="21"/>
        </w:rPr>
      </w:pPr>
      <w:r>
        <w:rPr>
          <w:rFonts w:hint="eastAsia" w:ascii="宋体" w:hAnsi="宋体" w:cs="宋体"/>
          <w:b/>
          <w:sz w:val="21"/>
          <w:szCs w:val="21"/>
        </w:rPr>
        <w:t>第七十二条</w:t>
      </w:r>
      <w:r>
        <w:rPr>
          <w:rFonts w:hint="eastAsia" w:ascii="宋体" w:hAnsi="宋体" w:cs="宋体"/>
          <w:sz w:val="21"/>
          <w:szCs w:val="21"/>
        </w:rPr>
        <w:t>　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line="320" w:lineRule="exact"/>
        <w:ind w:right="18" w:firstLine="411" w:firstLineChars="196"/>
        <w:rPr>
          <w:rFonts w:hint="eastAsia" w:ascii="宋体" w:hAnsi="宋体" w:cs="宋体"/>
          <w:sz w:val="21"/>
          <w:szCs w:val="21"/>
        </w:rPr>
      </w:pPr>
      <w:r>
        <w:rPr>
          <w:rFonts w:hint="eastAsia" w:ascii="宋体" w:hAnsi="宋体" w:cs="宋体"/>
          <w:sz w:val="21"/>
          <w:szCs w:val="21"/>
        </w:rPr>
        <w:t>（一）犯罪情节较轻；</w:t>
      </w:r>
    </w:p>
    <w:p>
      <w:pPr>
        <w:autoSpaceDE w:val="0"/>
        <w:autoSpaceDN w:val="0"/>
        <w:adjustRightInd w:val="0"/>
        <w:spacing w:line="320" w:lineRule="exact"/>
        <w:ind w:right="18" w:firstLine="411" w:firstLineChars="196"/>
        <w:rPr>
          <w:rFonts w:hint="eastAsia" w:ascii="宋体" w:hAnsi="宋体" w:cs="宋体"/>
          <w:sz w:val="21"/>
          <w:szCs w:val="21"/>
        </w:rPr>
      </w:pPr>
      <w:r>
        <w:rPr>
          <w:rFonts w:hint="eastAsia" w:ascii="宋体" w:hAnsi="宋体" w:cs="宋体"/>
          <w:sz w:val="21"/>
          <w:szCs w:val="21"/>
        </w:rPr>
        <w:t>（二）有悔罪表现；</w:t>
      </w:r>
    </w:p>
    <w:p>
      <w:pPr>
        <w:autoSpaceDE w:val="0"/>
        <w:autoSpaceDN w:val="0"/>
        <w:adjustRightInd w:val="0"/>
        <w:spacing w:line="320" w:lineRule="exact"/>
        <w:ind w:right="18" w:firstLine="411" w:firstLineChars="196"/>
        <w:rPr>
          <w:rFonts w:hint="eastAsia" w:ascii="宋体" w:hAnsi="宋体" w:cs="宋体"/>
          <w:sz w:val="21"/>
          <w:szCs w:val="21"/>
        </w:rPr>
      </w:pPr>
      <w:r>
        <w:rPr>
          <w:rFonts w:hint="eastAsia" w:ascii="宋体" w:hAnsi="宋体" w:cs="宋体"/>
          <w:sz w:val="21"/>
          <w:szCs w:val="21"/>
        </w:rPr>
        <w:t>（三）没有再犯罪的危险；</w:t>
      </w:r>
    </w:p>
    <w:p>
      <w:pPr>
        <w:autoSpaceDE w:val="0"/>
        <w:autoSpaceDN w:val="0"/>
        <w:adjustRightInd w:val="0"/>
        <w:spacing w:line="320" w:lineRule="exact"/>
        <w:ind w:right="18" w:firstLine="411" w:firstLineChars="196"/>
        <w:rPr>
          <w:rFonts w:hint="eastAsia" w:ascii="宋体" w:hAnsi="宋体" w:cs="宋体"/>
          <w:sz w:val="21"/>
          <w:szCs w:val="21"/>
        </w:rPr>
      </w:pPr>
      <w:r>
        <w:rPr>
          <w:rFonts w:hint="eastAsia" w:ascii="宋体" w:hAnsi="宋体" w:cs="宋体"/>
          <w:sz w:val="21"/>
          <w:szCs w:val="21"/>
        </w:rPr>
        <w:t>（四）宣告缓刑对所居住社区没有重大不良影响。</w:t>
      </w:r>
    </w:p>
    <w:p>
      <w:pPr>
        <w:autoSpaceDE w:val="0"/>
        <w:autoSpaceDN w:val="0"/>
        <w:adjustRightInd w:val="0"/>
        <w:spacing w:line="320" w:lineRule="exact"/>
        <w:ind w:right="18" w:firstLine="411" w:firstLineChars="196"/>
        <w:rPr>
          <w:rFonts w:hint="eastAsia" w:ascii="宋体" w:hAnsi="宋体" w:cs="宋体"/>
          <w:sz w:val="21"/>
          <w:szCs w:val="21"/>
        </w:rPr>
      </w:pPr>
      <w:r>
        <w:rPr>
          <w:rFonts w:hint="eastAsia" w:ascii="宋体" w:hAnsi="宋体" w:cs="宋体"/>
          <w:sz w:val="21"/>
          <w:szCs w:val="21"/>
        </w:rPr>
        <w:t>宣告缓刑，可以根据犯罪情况，同时禁止犯罪分子在缓刑考验期内从事特定活动，进入特定区域、场所，接触特定的人。</w:t>
      </w:r>
    </w:p>
    <w:p>
      <w:pPr>
        <w:autoSpaceDE w:val="0"/>
        <w:autoSpaceDN w:val="0"/>
        <w:adjustRightInd w:val="0"/>
        <w:spacing w:line="320" w:lineRule="exact"/>
        <w:ind w:right="18" w:firstLine="411" w:firstLineChars="196"/>
        <w:rPr>
          <w:rFonts w:hint="eastAsia" w:ascii="宋体" w:hAnsi="宋体" w:cs="宋体"/>
          <w:sz w:val="21"/>
          <w:szCs w:val="21"/>
        </w:rPr>
      </w:pPr>
      <w:r>
        <w:rPr>
          <w:rFonts w:hint="eastAsia" w:ascii="宋体" w:hAnsi="宋体" w:cs="宋体"/>
          <w:sz w:val="21"/>
          <w:szCs w:val="21"/>
        </w:rPr>
        <w:t>被宣告缓刑的犯罪分子，如果被判处附加刑，附加刑仍须执行。</w:t>
      </w:r>
    </w:p>
    <w:p>
      <w:pPr>
        <w:autoSpaceDE w:val="0"/>
        <w:autoSpaceDN w:val="0"/>
        <w:adjustRightInd w:val="0"/>
        <w:spacing w:line="320" w:lineRule="exact"/>
        <w:ind w:right="18" w:firstLine="413" w:firstLineChars="196"/>
        <w:rPr>
          <w:rFonts w:hAnsi="_GB2312"/>
          <w:b/>
          <w:bCs/>
          <w:smallCaps/>
          <w:color w:val="000000"/>
          <w:sz w:val="18"/>
          <w:szCs w:val="18"/>
        </w:rPr>
      </w:pPr>
      <w:r>
        <w:rPr>
          <w:rFonts w:hAnsi="宋体" w:cs="宋体"/>
          <w:b/>
          <w:bCs/>
          <w:smallCaps/>
          <w:color w:val="000000"/>
          <w:sz w:val="21"/>
          <w:szCs w:val="21"/>
        </w:rPr>
        <w:t>第七十六条</w:t>
      </w:r>
      <w:r>
        <w:rPr>
          <w:rFonts w:ascii="宋体" w:hAnsi="宋体" w:cs="宋体"/>
          <w:sz w:val="21"/>
          <w:szCs w:val="21"/>
        </w:rPr>
        <w:t>　</w:t>
      </w:r>
      <w:r>
        <w:rPr>
          <w:rFonts w:hint="eastAsia" w:ascii="宋体" w:hAnsi="宋体" w:cs="宋体"/>
          <w:sz w:val="21"/>
          <w:szCs w:val="21"/>
        </w:rPr>
        <w:t>对</w:t>
      </w:r>
      <w:r>
        <w:rPr>
          <w:rFonts w:ascii="宋体" w:hAnsi="宋体" w:cs="宋体"/>
          <w:sz w:val="21"/>
          <w:szCs w:val="21"/>
        </w:rPr>
        <w:t>宣告缓刑的犯罪分子，在缓刑考验期限内，</w:t>
      </w:r>
      <w:r>
        <w:rPr>
          <w:rFonts w:hint="eastAsia" w:ascii="宋体" w:hAnsi="宋体" w:cs="宋体"/>
          <w:sz w:val="21"/>
          <w:szCs w:val="21"/>
        </w:rPr>
        <w:t>依法实行社区矫正，</w:t>
      </w:r>
      <w:r>
        <w:rPr>
          <w:rFonts w:ascii="宋体" w:hAnsi="宋体" w:cs="宋体"/>
          <w:sz w:val="21"/>
          <w:szCs w:val="21"/>
        </w:rPr>
        <w:t>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3</w:t>
    </w:r>
    <w:r>
      <w:rPr>
        <w:rStyle w:val="5"/>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0093"/>
    <w:rsid w:val="000039B5"/>
    <w:rsid w:val="000079D6"/>
    <w:rsid w:val="0001217E"/>
    <w:rsid w:val="00017FF8"/>
    <w:rsid w:val="000401F2"/>
    <w:rsid w:val="00054647"/>
    <w:rsid w:val="00084495"/>
    <w:rsid w:val="00091FF5"/>
    <w:rsid w:val="000C5B95"/>
    <w:rsid w:val="000F2E59"/>
    <w:rsid w:val="000F3784"/>
    <w:rsid w:val="001573C4"/>
    <w:rsid w:val="00183991"/>
    <w:rsid w:val="001948FA"/>
    <w:rsid w:val="001D7B00"/>
    <w:rsid w:val="00200C7B"/>
    <w:rsid w:val="00227909"/>
    <w:rsid w:val="00247549"/>
    <w:rsid w:val="00260951"/>
    <w:rsid w:val="002640C5"/>
    <w:rsid w:val="0027258E"/>
    <w:rsid w:val="002924B3"/>
    <w:rsid w:val="00296D96"/>
    <w:rsid w:val="002E3A28"/>
    <w:rsid w:val="00305B7C"/>
    <w:rsid w:val="00313B14"/>
    <w:rsid w:val="00324BF0"/>
    <w:rsid w:val="00365121"/>
    <w:rsid w:val="0039159E"/>
    <w:rsid w:val="0039359D"/>
    <w:rsid w:val="003C6539"/>
    <w:rsid w:val="003D59D5"/>
    <w:rsid w:val="003D7D71"/>
    <w:rsid w:val="003E0073"/>
    <w:rsid w:val="0040008B"/>
    <w:rsid w:val="00401B24"/>
    <w:rsid w:val="00404F4B"/>
    <w:rsid w:val="00421369"/>
    <w:rsid w:val="00422737"/>
    <w:rsid w:val="004237D4"/>
    <w:rsid w:val="00432AFD"/>
    <w:rsid w:val="00442431"/>
    <w:rsid w:val="004C1F14"/>
    <w:rsid w:val="004E187C"/>
    <w:rsid w:val="004F2CE8"/>
    <w:rsid w:val="00507228"/>
    <w:rsid w:val="00512767"/>
    <w:rsid w:val="00515D62"/>
    <w:rsid w:val="00532D5C"/>
    <w:rsid w:val="00536CF4"/>
    <w:rsid w:val="00551C2E"/>
    <w:rsid w:val="00555504"/>
    <w:rsid w:val="00563009"/>
    <w:rsid w:val="005705CE"/>
    <w:rsid w:val="005812D9"/>
    <w:rsid w:val="005B0863"/>
    <w:rsid w:val="005B627F"/>
    <w:rsid w:val="005C2FB8"/>
    <w:rsid w:val="005D0093"/>
    <w:rsid w:val="00636B31"/>
    <w:rsid w:val="00642BCE"/>
    <w:rsid w:val="00693B10"/>
    <w:rsid w:val="006A7E96"/>
    <w:rsid w:val="006B27E7"/>
    <w:rsid w:val="006C25E1"/>
    <w:rsid w:val="006C2687"/>
    <w:rsid w:val="007041F9"/>
    <w:rsid w:val="00735BD6"/>
    <w:rsid w:val="00743CF0"/>
    <w:rsid w:val="00763387"/>
    <w:rsid w:val="00770F73"/>
    <w:rsid w:val="00780D1A"/>
    <w:rsid w:val="007F7417"/>
    <w:rsid w:val="008646D9"/>
    <w:rsid w:val="008944E0"/>
    <w:rsid w:val="008A3ADD"/>
    <w:rsid w:val="008B22C3"/>
    <w:rsid w:val="008B6DA8"/>
    <w:rsid w:val="008D57A2"/>
    <w:rsid w:val="008D5BE6"/>
    <w:rsid w:val="009302DF"/>
    <w:rsid w:val="00931070"/>
    <w:rsid w:val="00975035"/>
    <w:rsid w:val="0098098B"/>
    <w:rsid w:val="00991012"/>
    <w:rsid w:val="009E0870"/>
    <w:rsid w:val="00A07A21"/>
    <w:rsid w:val="00A145D1"/>
    <w:rsid w:val="00A62DE7"/>
    <w:rsid w:val="00A84612"/>
    <w:rsid w:val="00AA7311"/>
    <w:rsid w:val="00B0013C"/>
    <w:rsid w:val="00B11719"/>
    <w:rsid w:val="00B20B1D"/>
    <w:rsid w:val="00B23213"/>
    <w:rsid w:val="00B44012"/>
    <w:rsid w:val="00B92F9D"/>
    <w:rsid w:val="00BA0862"/>
    <w:rsid w:val="00BA508D"/>
    <w:rsid w:val="00BD02BA"/>
    <w:rsid w:val="00BD4066"/>
    <w:rsid w:val="00C70404"/>
    <w:rsid w:val="00C7141F"/>
    <w:rsid w:val="00C839A5"/>
    <w:rsid w:val="00C94BF2"/>
    <w:rsid w:val="00CB6A37"/>
    <w:rsid w:val="00CC4922"/>
    <w:rsid w:val="00CF5316"/>
    <w:rsid w:val="00D04354"/>
    <w:rsid w:val="00D33E4B"/>
    <w:rsid w:val="00D65564"/>
    <w:rsid w:val="00D93FED"/>
    <w:rsid w:val="00DA097D"/>
    <w:rsid w:val="00DA151F"/>
    <w:rsid w:val="00DA1795"/>
    <w:rsid w:val="00DA3B8C"/>
    <w:rsid w:val="00DB69D3"/>
    <w:rsid w:val="00DD2F13"/>
    <w:rsid w:val="00DD5964"/>
    <w:rsid w:val="00DF3734"/>
    <w:rsid w:val="00E11050"/>
    <w:rsid w:val="00E37CDC"/>
    <w:rsid w:val="00E52332"/>
    <w:rsid w:val="00E53740"/>
    <w:rsid w:val="00E60D16"/>
    <w:rsid w:val="00E7666F"/>
    <w:rsid w:val="00E9525A"/>
    <w:rsid w:val="00EB7C5D"/>
    <w:rsid w:val="00ED68D8"/>
    <w:rsid w:val="00EF04B9"/>
    <w:rsid w:val="00F03F3A"/>
    <w:rsid w:val="00F10E85"/>
    <w:rsid w:val="00F215BB"/>
    <w:rsid w:val="00F40D8F"/>
    <w:rsid w:val="00F62D7B"/>
    <w:rsid w:val="00F8289D"/>
    <w:rsid w:val="00F95F54"/>
    <w:rsid w:val="00FA1BDA"/>
    <w:rsid w:val="00FB146C"/>
    <w:rsid w:val="00FC5129"/>
    <w:rsid w:val="00FE5702"/>
    <w:rsid w:val="00FF796D"/>
    <w:rsid w:val="0D6854F7"/>
    <w:rsid w:val="27134888"/>
    <w:rsid w:val="446100A0"/>
    <w:rsid w:val="5CD857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MS Sans Serif" w:eastAsia="仿宋_GB2312" w:cs="Times New Roman"/>
      <w:sz w:val="32"/>
      <w:szCs w:val="32"/>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 w:type="character" w:styleId="6">
    <w:name w:val="Hyperlink"/>
    <w:basedOn w:val="4"/>
    <w:uiPriority w:val="0"/>
    <w:rPr>
      <w:rFonts w:hint="default" w:ascii="ˎ̥" w:hAnsi="ˎ̥"/>
      <w:color w:val="0453CC"/>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331</Words>
  <Characters>1891</Characters>
  <Lines>15</Lines>
  <Paragraphs>4</Paragraphs>
  <TotalTime>0</TotalTime>
  <ScaleCrop>false</ScaleCrop>
  <LinksUpToDate>false</LinksUpToDate>
  <CharactersWithSpaces>2218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2014-09-02T03:23:00Z</dcterms:created>
  <dc:creator>yc</dc:creator>
  <cp:lastModifiedBy>TF-PC</cp:lastModifiedBy>
  <cp:lastPrinted>2013-06-09T02:44:00Z</cp:lastPrinted>
  <dcterms:modified xsi:type="dcterms:W3CDTF">2018-08-27T09:40:40Z</dcterms:modified>
  <dc:title>                                       院   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