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800" w:lineRule="exact"/>
        <w:jc w:val="center"/>
        <w:rPr>
          <w:rFonts w:hint="eastAsia"/>
        </w:rPr>
      </w:pPr>
      <w:bookmarkStart w:id="1" w:name="_GoBack"/>
      <w:bookmarkEnd w:id="1"/>
      <w:r>
        <w:rPr>
          <w:rFonts w:hint="eastAsia"/>
          <w:sz w:val="44"/>
          <w:szCs w:val="44"/>
        </w:rPr>
        <w:t>天津市宁河县人民法院</w:t>
      </w:r>
    </w:p>
    <w:p>
      <w:pPr>
        <w:autoSpaceDE w:val="0"/>
        <w:autoSpaceDN w:val="0"/>
        <w:adjustRightInd w:val="0"/>
        <w:spacing w:line="800" w:lineRule="exact"/>
        <w:jc w:val="center"/>
        <w:rPr>
          <w:rFonts w:hint="eastAsia" w:ascii="宋体" w:hAnsi="宋体"/>
          <w:b/>
          <w:spacing w:val="50"/>
          <w:sz w:val="52"/>
          <w:szCs w:val="52"/>
        </w:rPr>
      </w:pPr>
      <w:r>
        <w:rPr>
          <w:rFonts w:hint="eastAsia" w:ascii="宋体" w:hAnsi="宋体"/>
          <w:b/>
          <w:bCs/>
          <w:spacing w:val="50"/>
          <w:sz w:val="52"/>
          <w:szCs w:val="52"/>
        </w:rPr>
        <w:t xml:space="preserve"> 刑 事 判 决 书</w:t>
      </w:r>
    </w:p>
    <w:p>
      <w:pPr>
        <w:autoSpaceDE w:val="0"/>
        <w:autoSpaceDN w:val="0"/>
        <w:adjustRightInd w:val="0"/>
        <w:spacing w:line="520" w:lineRule="exact"/>
        <w:rPr>
          <w:rFonts w:hint="eastAsia"/>
        </w:rPr>
      </w:pPr>
    </w:p>
    <w:p>
      <w:pPr>
        <w:autoSpaceDE w:val="0"/>
        <w:autoSpaceDN w:val="0"/>
        <w:adjustRightInd w:val="0"/>
        <w:spacing w:line="520" w:lineRule="exact"/>
        <w:jc w:val="right"/>
        <w:rPr>
          <w:rFonts w:hint="eastAsia"/>
        </w:rPr>
      </w:pPr>
      <w:r>
        <w:rPr>
          <w:rFonts w:hint="eastAsia"/>
        </w:rPr>
        <w:t xml:space="preserve">(2014)宁刑初字第258号 </w:t>
      </w:r>
    </w:p>
    <w:p>
      <w:pPr>
        <w:autoSpaceDE w:val="0"/>
        <w:autoSpaceDN w:val="0"/>
        <w:adjustRightInd w:val="0"/>
        <w:spacing w:line="520" w:lineRule="exact"/>
        <w:rPr>
          <w:rFonts w:hint="eastAsia"/>
        </w:rPr>
      </w:pPr>
    </w:p>
    <w:p>
      <w:pPr>
        <w:autoSpaceDE w:val="0"/>
        <w:autoSpaceDN w:val="0"/>
        <w:adjustRightInd w:val="0"/>
        <w:spacing w:line="520" w:lineRule="exact"/>
        <w:ind w:right="58" w:rightChars="18" w:firstLine="660"/>
        <w:rPr>
          <w:rFonts w:hint="eastAsia"/>
        </w:rPr>
      </w:pPr>
      <w:r>
        <w:rPr>
          <w:rFonts w:hint="eastAsia"/>
        </w:rPr>
        <w:t>公诉机关宁河县人民检察院。</w:t>
      </w:r>
    </w:p>
    <w:p>
      <w:pPr>
        <w:autoSpaceDE w:val="0"/>
        <w:autoSpaceDN w:val="0"/>
        <w:adjustRightInd w:val="0"/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被告人郑永辉，男，1970年1月6日出生，汉族，小学文化，农民，住天津市宁河县北淮淀乡北淮淀村三区3排106号。2014年7月11日因涉嫌信用卡诈骗罪被天津市公安局宁河分局刑事拘留，同年7月25日被天津市公安局宁河分局取保候审。现在居住地候审。</w:t>
      </w:r>
    </w:p>
    <w:p>
      <w:pPr>
        <w:autoSpaceDE w:val="0"/>
        <w:autoSpaceDN w:val="0"/>
        <w:adjustRightInd w:val="0"/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宁河县人民检察院以津宁检公诉刑诉[2014]162号起诉书指控被告人郑永辉犯信用卡诈骗罪，于2014年9月12日向本院提起公诉，并建议适用简易程序审理。本院依法适用简易程序，组成合议庭，公开开庭进行了审理。宁河县人民检察院指派代理检察员王海洋出庭支持公诉，被告人</w:t>
      </w:r>
      <w:r>
        <w:rPr>
          <w:rFonts w:hint="eastAsia" w:hAnsi="宋体" w:cs="宋体"/>
        </w:rPr>
        <w:t>郑永辉</w:t>
      </w:r>
      <w:r>
        <w:rPr>
          <w:rFonts w:hint="eastAsia"/>
        </w:rPr>
        <w:t>到庭参加诉讼。现已审理终结。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宁河县人民检察院指控，2013年7月间，被告人郑永辉帮助李志领、黄瑞芹、郑庆欢三人办理建设银行信用卡后，郑永辉以可以帮助提高信用卡信用额度为由，将李志领等三人信用卡要走。后被告人郑永辉在李志领等人不知情的情况下，冒用李志领等人名义，持李志领等三人的信用卡各透支人民币5000元据为己有，共计15000元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案发后，被告人郑永辉偿还了全部款息。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公诉机关为证明上述事实出示的证据如下：1.书证；2.证人证言；3.被害人陈述；4.被告人的供述和辩解。</w:t>
      </w:r>
      <w:r>
        <w:rPr>
          <w:rFonts w:hint="eastAsia"/>
          <w:kern w:val="13"/>
        </w:rPr>
        <w:t>公诉机关</w:t>
      </w:r>
      <w:r>
        <w:rPr>
          <w:rFonts w:hint="eastAsia"/>
        </w:rPr>
        <w:t>认为被告人郑永辉的行为已构成信用卡诈骗罪，请求依法判处，建议判处其有期徒刑六个月至一年六个月，并处罚金，可适用缓刑。</w:t>
      </w:r>
    </w:p>
    <w:p>
      <w:pPr>
        <w:autoSpaceDE w:val="0"/>
        <w:autoSpaceDN w:val="0"/>
        <w:adjustRightInd w:val="0"/>
        <w:spacing w:line="520" w:lineRule="exact"/>
        <w:ind w:firstLine="645"/>
        <w:jc w:val="left"/>
        <w:rPr>
          <w:rFonts w:hint="eastAsia"/>
        </w:rPr>
      </w:pPr>
      <w:r>
        <w:rPr>
          <w:rFonts w:hint="eastAsia"/>
        </w:rPr>
        <w:t>被告人郑永辉对</w:t>
      </w:r>
      <w:r>
        <w:rPr>
          <w:rFonts w:hint="eastAsia" w:cs="仿宋_GB2312"/>
        </w:rPr>
        <w:t>公诉机关的指控未提出</w:t>
      </w:r>
      <w:r>
        <w:rPr>
          <w:rFonts w:hint="eastAsia"/>
        </w:rPr>
        <w:t xml:space="preserve">辩解意见，对量刑建议亦无异议。 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经审理查明，2013年7月间，被告人郑永辉帮助李志领、黄瑞芹、郑庆欢三人办理建设银行信用卡后，以帮助提高信用卡信用额度为由，将上述三人信用卡要走。后郑永辉在李志领等三人不知情的情况下，冒用三人名义，持三张信用卡各透支人民币5000元据为己有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案发后，被告人郑永辉偿还了全部银行透支款息共计人民币19407.23元。</w:t>
      </w:r>
    </w:p>
    <w:p>
      <w:pPr>
        <w:autoSpaceDE w:val="0"/>
        <w:autoSpaceDN w:val="0"/>
        <w:adjustRightInd w:val="0"/>
        <w:spacing w:line="520" w:lineRule="exact"/>
        <w:ind w:firstLine="640" w:firstLineChars="200"/>
        <w:jc w:val="left"/>
        <w:rPr>
          <w:rFonts w:hint="eastAsia"/>
        </w:rPr>
      </w:pPr>
      <w:r>
        <w:rPr>
          <w:rFonts w:hint="eastAsia"/>
        </w:rPr>
        <w:t>上述事实，有经庭审举证、质证，本院予以确认的下列证据予以证明：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1.信用卡对账单、中国建设银行存款凭条、扣押及发还清单等；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2.证人李某某的证言；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3.被害人李某某、黄某某、郑某某的陈述；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4.被告人主体身份证明、前科证明材料、受案登记表、案件来源及到案经过；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5.被告人供述和辩解。</w:t>
      </w:r>
    </w:p>
    <w:p>
      <w:pPr>
        <w:autoSpaceDE w:val="0"/>
        <w:autoSpaceDN w:val="0"/>
        <w:adjustRightInd w:val="0"/>
        <w:spacing w:line="520" w:lineRule="exact"/>
        <w:ind w:firstLine="645"/>
        <w:rPr>
          <w:rFonts w:hint="eastAsia"/>
        </w:rPr>
      </w:pPr>
      <w:r>
        <w:rPr>
          <w:rFonts w:hint="eastAsia"/>
        </w:rPr>
        <w:t>本院认为，被告人</w:t>
      </w:r>
      <w:r>
        <w:rPr>
          <w:rFonts w:hint="eastAsia" w:hAnsi="宋体" w:cs="宋体"/>
        </w:rPr>
        <w:t>郑永辉冒用他人信用卡进行信用卡诈骗活动</w:t>
      </w:r>
      <w:r>
        <w:rPr>
          <w:rFonts w:hint="eastAsia"/>
        </w:rPr>
        <w:t>，数额较大，其行为已构成信用卡诈骗罪。公诉机关指控被告人郑永辉犯信用卡诈骗罪的事实清楚，证据确实、充分，指控的罪名成立，本院对其指控予以支持。被告人郑永辉</w:t>
      </w:r>
      <w:r>
        <w:rPr>
          <w:rFonts w:hint="eastAsia" w:hAnsi="Verdana" w:cs="宋体"/>
        </w:rPr>
        <w:t>在案发后积极归还银行款息，在一定程度上降低了其犯罪行为的社会危害性，对此酌定从轻处罚情节，本院在对其量刑时综合予以考虑。公诉机关提出的量刑建议适当，本院予以采纳。</w:t>
      </w:r>
      <w:r>
        <w:rPr>
          <w:rFonts w:hint="eastAsia"/>
        </w:rPr>
        <w:t>据此，依照《中华人民共和国刑法》第一百九十六条第一款第（三）项、第七十二条第一款、第七十六条</w:t>
      </w:r>
      <w:r>
        <w:rPr>
          <w:rFonts w:hint="eastAsia" w:hAnsi="Verdana" w:cs="宋体"/>
        </w:rPr>
        <w:t>的规定，判决如下</w:t>
      </w:r>
      <w:r>
        <w:rPr>
          <w:rFonts w:hint="eastAsia"/>
        </w:rPr>
        <w:t>：</w:t>
      </w:r>
    </w:p>
    <w:p>
      <w:pPr>
        <w:snapToGrid w:val="0"/>
        <w:spacing w:line="520" w:lineRule="exact"/>
        <w:ind w:left="154" w:leftChars="48" w:firstLine="640" w:firstLineChars="200"/>
        <w:jc w:val="left"/>
        <w:rPr>
          <w:rFonts w:hint="eastAsia"/>
        </w:rPr>
      </w:pPr>
      <w:r>
        <w:rPr>
          <w:rFonts w:hint="eastAsia"/>
          <w:szCs w:val="30"/>
        </w:rPr>
        <w:t>被告人</w:t>
      </w:r>
      <w:r>
        <w:rPr>
          <w:rFonts w:hint="eastAsia" w:hAnsi="宋体" w:cs="宋体"/>
        </w:rPr>
        <w:t>郑永辉</w:t>
      </w:r>
      <w:r>
        <w:rPr>
          <w:rFonts w:hint="eastAsia"/>
        </w:rPr>
        <w:t>犯信用卡诈骗罪，判处有期徒刑六个月，缓刑一年，并处罚金20000元（缓刑考验期自判决确定之日起计算。对</w:t>
      </w:r>
      <w:r>
        <w:t>宣告缓刑的犯罪分子，在缓刑考验期限内，</w:t>
      </w:r>
      <w:r>
        <w:rPr>
          <w:rFonts w:hint="eastAsia"/>
        </w:rPr>
        <w:t>依法实行社区矫正）。</w:t>
      </w:r>
    </w:p>
    <w:p>
      <w:pPr>
        <w:autoSpaceDE w:val="0"/>
        <w:autoSpaceDN w:val="0"/>
        <w:adjustRightInd w:val="0"/>
        <w:spacing w:line="520" w:lineRule="exact"/>
        <w:ind w:firstLine="640" w:firstLineChars="200"/>
        <w:jc w:val="left"/>
        <w:rPr>
          <w:rFonts w:hint="eastAsia"/>
        </w:rPr>
      </w:pPr>
      <w:r>
        <w:rPr>
          <w:rFonts w:hint="eastAsia"/>
        </w:rPr>
        <w:t>上述罚金于判决生效后十日内缴纳。</w:t>
      </w:r>
    </w:p>
    <w:p>
      <w:pPr>
        <w:autoSpaceDE w:val="0"/>
        <w:autoSpaceDN w:val="0"/>
        <w:adjustRightInd w:val="0"/>
        <w:spacing w:line="520" w:lineRule="exact"/>
        <w:ind w:firstLine="645"/>
        <w:rPr>
          <w:rFonts w:hint="eastAsia"/>
        </w:rPr>
      </w:pPr>
      <w:r>
        <w:rPr>
          <w:rFonts w:hint="eastAsia"/>
        </w:rPr>
        <w:t>如不服本判决，可在接到本判决书的第二日起十日内，通过本院或者直接向天津市第二中级人民法院提出上诉。书面上诉的，应提交上诉状正本一份，副本一份。</w:t>
      </w:r>
    </w:p>
    <w:p>
      <w:pPr>
        <w:autoSpaceDE w:val="0"/>
        <w:autoSpaceDN w:val="0"/>
        <w:adjustRightInd w:val="0"/>
        <w:spacing w:line="520" w:lineRule="exact"/>
        <w:ind w:firstLine="5925"/>
        <w:jc w:val="right"/>
        <w:rPr>
          <w:rFonts w:hint="eastAsia"/>
        </w:rPr>
      </w:pPr>
    </w:p>
    <w:p>
      <w:pPr>
        <w:autoSpaceDE w:val="0"/>
        <w:autoSpaceDN w:val="0"/>
        <w:adjustRightInd w:val="0"/>
        <w:spacing w:line="520" w:lineRule="exact"/>
        <w:jc w:val="right"/>
        <w:rPr>
          <w:rFonts w:hint="eastAsia"/>
        </w:rPr>
      </w:pPr>
      <w:r>
        <w:rPr>
          <w:rFonts w:hint="eastAsia"/>
        </w:rPr>
        <w:t>审  判  长：曹  铁</w:t>
      </w:r>
    </w:p>
    <w:p>
      <w:pPr>
        <w:autoSpaceDE w:val="0"/>
        <w:autoSpaceDN w:val="0"/>
        <w:adjustRightInd w:val="0"/>
        <w:spacing w:line="520" w:lineRule="exact"/>
        <w:jc w:val="right"/>
        <w:rPr>
          <w:rFonts w:hint="eastAsia"/>
        </w:rPr>
      </w:pPr>
      <w:r>
        <w:rPr>
          <w:rFonts w:hint="eastAsia"/>
        </w:rPr>
        <w:t>审  判  员：李洪文</w:t>
      </w:r>
    </w:p>
    <w:p>
      <w:pPr>
        <w:autoSpaceDE w:val="0"/>
        <w:autoSpaceDN w:val="0"/>
        <w:adjustRightInd w:val="0"/>
        <w:spacing w:line="520" w:lineRule="exact"/>
        <w:jc w:val="right"/>
        <w:rPr>
          <w:rFonts w:hint="eastAsia"/>
        </w:rPr>
      </w:pPr>
      <w:r>
        <w:rPr>
          <w:rFonts w:hint="eastAsia"/>
        </w:rPr>
        <w:t>代理审判员：张妮娜</w:t>
      </w:r>
    </w:p>
    <w:p>
      <w:pPr>
        <w:autoSpaceDE w:val="0"/>
        <w:autoSpaceDN w:val="0"/>
        <w:adjustRightInd w:val="0"/>
        <w:spacing w:line="520" w:lineRule="exact"/>
        <w:jc w:val="right"/>
        <w:rPr>
          <w:rFonts w:hint="eastAsia"/>
        </w:rPr>
      </w:pPr>
    </w:p>
    <w:p>
      <w:pPr>
        <w:autoSpaceDE w:val="0"/>
        <w:autoSpaceDN w:val="0"/>
        <w:adjustRightInd w:val="0"/>
        <w:spacing w:line="520" w:lineRule="exact"/>
        <w:jc w:val="right"/>
        <w:rPr>
          <w:rFonts w:hint="eastAsia"/>
        </w:rPr>
      </w:pPr>
      <w:r>
        <w:rPr>
          <w:rFonts w:hint="eastAsia"/>
        </w:rPr>
        <w:t xml:space="preserve">                             二</w:t>
      </w: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一四年十月二十四日</w:t>
      </w:r>
    </w:p>
    <w:p>
      <w:pPr>
        <w:autoSpaceDE w:val="0"/>
        <w:autoSpaceDN w:val="0"/>
        <w:adjustRightInd w:val="0"/>
        <w:spacing w:line="520" w:lineRule="exact"/>
        <w:jc w:val="right"/>
        <w:rPr>
          <w:rFonts w:hint="eastAsia"/>
        </w:rPr>
      </w:pPr>
    </w:p>
    <w:p>
      <w:pPr>
        <w:autoSpaceDE w:val="0"/>
        <w:autoSpaceDN w:val="0"/>
        <w:adjustRightInd w:val="0"/>
        <w:spacing w:line="520" w:lineRule="exact"/>
        <w:jc w:val="right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/>
        </w:rPr>
        <w:t>书  记  员：陈  晨</w:t>
      </w:r>
    </w:p>
    <w:p>
      <w:pPr>
        <w:autoSpaceDE w:val="0"/>
        <w:autoSpaceDN w:val="0"/>
        <w:adjustRightInd w:val="0"/>
        <w:spacing w:line="360" w:lineRule="exact"/>
        <w:ind w:right="18"/>
        <w:rPr>
          <w:rFonts w:hint="eastAsia" w:hAnsi="ˎ̥"/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exact"/>
        <w:ind w:right="18"/>
        <w:rPr>
          <w:rFonts w:hint="eastAsia" w:hAnsi="ˎ̥"/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exact"/>
        <w:ind w:right="18"/>
        <w:rPr>
          <w:rFonts w:hint="eastAsia" w:hAnsi="ˎ̥"/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exact"/>
        <w:ind w:right="18"/>
        <w:rPr>
          <w:rFonts w:hint="eastAsia" w:hAnsi="ˎ̥"/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exact"/>
        <w:ind w:right="18"/>
        <w:rPr>
          <w:rFonts w:hint="eastAsia" w:hAnsi="ˎ̥"/>
          <w:b/>
          <w:color w:val="000000"/>
          <w:sz w:val="28"/>
          <w:szCs w:val="28"/>
        </w:rPr>
      </w:pPr>
      <w:r>
        <w:rPr>
          <w:rFonts w:hint="eastAsia" w:hAnsi="ˎ̥"/>
          <w:b/>
          <w:color w:val="000000"/>
          <w:sz w:val="28"/>
          <w:szCs w:val="28"/>
        </w:rPr>
        <w:t>附相关法律条文:</w:t>
      </w:r>
    </w:p>
    <w:p>
      <w:pPr>
        <w:autoSpaceDE w:val="0"/>
        <w:autoSpaceDN w:val="0"/>
        <w:adjustRightInd w:val="0"/>
        <w:spacing w:line="360" w:lineRule="exact"/>
        <w:ind w:right="18"/>
        <w:rPr>
          <w:rFonts w:hint="eastAsia" w:hAnsi="ˎ̥"/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line="400" w:lineRule="exact"/>
        <w:ind w:right="17"/>
        <w:rPr>
          <w:rFonts w:hint="eastAsia" w:ascii="宋体" w:hAnsi="宋体" w:cs="宋体"/>
          <w:b/>
          <w:sz w:val="21"/>
          <w:szCs w:val="21"/>
        </w:rPr>
      </w:pPr>
      <w:r>
        <w:rPr>
          <w:rFonts w:hint="eastAsia" w:ascii="宋体" w:hAnsi="宋体" w:cs="宋体"/>
          <w:b/>
          <w:sz w:val="21"/>
          <w:szCs w:val="21"/>
        </w:rPr>
        <w:t>《中华人民共和国刑法》</w:t>
      </w:r>
    </w:p>
    <w:p>
      <w:pPr>
        <w:autoSpaceDE w:val="0"/>
        <w:autoSpaceDN w:val="0"/>
        <w:adjustRightInd w:val="0"/>
        <w:spacing w:line="400" w:lineRule="exact"/>
        <w:ind w:right="17"/>
        <w:rPr>
          <w:rFonts w:hint="eastAsia" w:ascii="宋体" w:hAnsi="宋体" w:cs="宋体"/>
          <w:sz w:val="21"/>
          <w:szCs w:val="21"/>
        </w:rPr>
      </w:pPr>
      <w:bookmarkStart w:id="0" w:name="73"/>
      <w:bookmarkEnd w:id="0"/>
      <w:r>
        <w:rPr>
          <w:rFonts w:hint="eastAsia" w:ascii="宋体" w:hAnsi="宋体" w:cs="宋体"/>
          <w:b/>
          <w:sz w:val="21"/>
          <w:szCs w:val="21"/>
        </w:rPr>
        <w:t>第一百九十六条</w:t>
      </w:r>
      <w:r>
        <w:rPr>
          <w:rFonts w:hint="eastAsia" w:ascii="宋体" w:hAnsi="宋体" w:cs="宋体"/>
          <w:sz w:val="21"/>
          <w:szCs w:val="21"/>
        </w:rPr>
        <w:t>　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hint="eastAsia" w:ascii="宋体" w:hAnsi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</w:rPr>
        <w:t>　　（一）使用伪造的信用卡，或者使用以虚假的身份证明骗领的信用卡的；</w:t>
      </w:r>
      <w:r>
        <w:rPr>
          <w:rFonts w:hint="eastAsia" w:ascii="宋体" w:hAnsi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</w:rPr>
        <w:t>　　（二）使用作废的信用卡的；</w:t>
      </w:r>
      <w:r>
        <w:rPr>
          <w:rFonts w:hint="eastAsia" w:ascii="宋体" w:hAnsi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</w:rPr>
        <w:t>　　（三）冒用他人信用卡的；</w:t>
      </w:r>
      <w:r>
        <w:rPr>
          <w:rFonts w:hint="eastAsia" w:ascii="宋体" w:hAnsi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</w:rPr>
        <w:t>　　（四）恶意透支的。</w:t>
      </w:r>
      <w:r>
        <w:rPr>
          <w:rFonts w:hint="eastAsia" w:ascii="宋体" w:hAnsi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</w:rPr>
        <w:t>　　前款所称恶意透支，是指持卡人以非法占有为目的，超过规定限额或者规定期限透支，并且经发卡银行催收后仍不归还的行为。</w:t>
      </w:r>
      <w:r>
        <w:rPr>
          <w:rFonts w:hint="eastAsia" w:ascii="宋体" w:hAnsi="宋体" w:cs="宋体"/>
          <w:sz w:val="21"/>
          <w:szCs w:val="21"/>
        </w:rPr>
        <w:br w:type="textWrapping"/>
      </w:r>
      <w:r>
        <w:rPr>
          <w:rFonts w:hint="eastAsia" w:ascii="宋体" w:hAnsi="宋体" w:cs="宋体"/>
          <w:sz w:val="21"/>
          <w:szCs w:val="21"/>
        </w:rPr>
        <w:t>　　盗窃信用卡并使用的，依照本法第二百六十四条的规定定罪处罚。</w:t>
      </w:r>
    </w:p>
    <w:p>
      <w:pPr>
        <w:autoSpaceDE w:val="0"/>
        <w:autoSpaceDN w:val="0"/>
        <w:adjustRightInd w:val="0"/>
        <w:spacing w:line="400" w:lineRule="exact"/>
        <w:ind w:right="17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sz w:val="21"/>
          <w:szCs w:val="21"/>
        </w:rPr>
        <w:t>第七十二条</w:t>
      </w:r>
      <w:r>
        <w:rPr>
          <w:rFonts w:hint="eastAsia" w:ascii="宋体" w:hAnsi="宋体" w:cs="宋体"/>
          <w:sz w:val="21"/>
          <w:szCs w:val="21"/>
        </w:rPr>
        <w:t>　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autoSpaceDE w:val="0"/>
        <w:autoSpaceDN w:val="0"/>
        <w:adjustRightInd w:val="0"/>
        <w:spacing w:line="400" w:lineRule="exact"/>
        <w:ind w:right="17" w:firstLine="411" w:firstLineChars="196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（一）犯罪情节较轻；</w:t>
      </w:r>
    </w:p>
    <w:p>
      <w:pPr>
        <w:autoSpaceDE w:val="0"/>
        <w:autoSpaceDN w:val="0"/>
        <w:adjustRightInd w:val="0"/>
        <w:spacing w:line="400" w:lineRule="exact"/>
        <w:ind w:right="17" w:firstLine="411" w:firstLineChars="196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（二）有悔罪表现；</w:t>
      </w:r>
    </w:p>
    <w:p>
      <w:pPr>
        <w:autoSpaceDE w:val="0"/>
        <w:autoSpaceDN w:val="0"/>
        <w:adjustRightInd w:val="0"/>
        <w:spacing w:line="400" w:lineRule="exact"/>
        <w:ind w:right="17" w:firstLine="411" w:firstLineChars="196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（三）没有再犯罪的危险；</w:t>
      </w:r>
    </w:p>
    <w:p>
      <w:pPr>
        <w:autoSpaceDE w:val="0"/>
        <w:autoSpaceDN w:val="0"/>
        <w:adjustRightInd w:val="0"/>
        <w:spacing w:line="400" w:lineRule="exact"/>
        <w:ind w:right="17" w:firstLine="411" w:firstLineChars="196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（四）宣告缓刑对所居住社区没有重大不良影响。</w:t>
      </w:r>
    </w:p>
    <w:p>
      <w:pPr>
        <w:autoSpaceDE w:val="0"/>
        <w:autoSpaceDN w:val="0"/>
        <w:adjustRightInd w:val="0"/>
        <w:spacing w:line="400" w:lineRule="exact"/>
        <w:ind w:right="17" w:firstLine="411" w:firstLineChars="196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宣告缓刑，可以根据犯罪情况，同时禁止犯罪分子在缓刑考验期内从事特定活动，进入特定区域、场所，接触特定的人。</w:t>
      </w:r>
    </w:p>
    <w:p>
      <w:pPr>
        <w:autoSpaceDE w:val="0"/>
        <w:autoSpaceDN w:val="0"/>
        <w:adjustRightInd w:val="0"/>
        <w:spacing w:line="400" w:lineRule="exact"/>
        <w:ind w:right="17" w:firstLine="411" w:firstLineChars="196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被宣告缓刑的犯罪分子，如果被判处附加刑，附加刑仍须执行。</w:t>
      </w:r>
    </w:p>
    <w:p>
      <w:pPr>
        <w:autoSpaceDE w:val="0"/>
        <w:autoSpaceDN w:val="0"/>
        <w:adjustRightInd w:val="0"/>
        <w:spacing w:line="400" w:lineRule="exact"/>
        <w:ind w:right="17"/>
        <w:rPr>
          <w:rFonts w:hAnsi="_GB2312"/>
          <w:b/>
          <w:bCs/>
          <w:smallCaps/>
          <w:color w:val="000000"/>
          <w:sz w:val="18"/>
          <w:szCs w:val="18"/>
        </w:rPr>
      </w:pPr>
      <w:r>
        <w:rPr>
          <w:rFonts w:hAnsi="宋体" w:cs="宋体"/>
          <w:b/>
          <w:bCs/>
          <w:smallCaps/>
          <w:color w:val="000000"/>
          <w:sz w:val="21"/>
          <w:szCs w:val="21"/>
        </w:rPr>
        <w:t>第七十六条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hint="eastAsia" w:ascii="宋体" w:hAnsi="宋体" w:cs="宋体"/>
          <w:sz w:val="21"/>
          <w:szCs w:val="21"/>
        </w:rPr>
        <w:t>对</w:t>
      </w:r>
      <w:r>
        <w:rPr>
          <w:rFonts w:ascii="宋体" w:hAnsi="宋体" w:cs="宋体"/>
          <w:sz w:val="21"/>
          <w:szCs w:val="21"/>
        </w:rPr>
        <w:t>宣告缓刑的犯罪分子，在缓刑考验期限内，</w:t>
      </w:r>
      <w:r>
        <w:rPr>
          <w:rFonts w:hint="eastAsia" w:ascii="宋体" w:hAnsi="宋体" w:cs="宋体"/>
          <w:sz w:val="21"/>
          <w:szCs w:val="21"/>
        </w:rPr>
        <w:t>依法实行社区矫正，</w:t>
      </w:r>
      <w:r>
        <w:rPr>
          <w:rFonts w:ascii="宋体" w:hAnsi="宋体" w:cs="宋体"/>
          <w:sz w:val="21"/>
          <w:szCs w:val="21"/>
        </w:rPr>
        <w:t>如果没有本法第七十七条规定的情形，缓刑考验期满，原判的刑罚就不再执行，并公开予以宣告。</w:t>
      </w:r>
    </w:p>
    <w:sectPr>
      <w:footerReference r:id="rId3" w:type="default"/>
      <w:footerReference r:id="rId4" w:type="even"/>
      <w:pgSz w:w="11906" w:h="16838"/>
      <w:pgMar w:top="1701" w:right="1418" w:bottom="1701" w:left="1701" w:header="0" w:footer="136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0093"/>
    <w:rsid w:val="000039B5"/>
    <w:rsid w:val="000079D6"/>
    <w:rsid w:val="0001217E"/>
    <w:rsid w:val="00017FF8"/>
    <w:rsid w:val="0003373B"/>
    <w:rsid w:val="000401F2"/>
    <w:rsid w:val="00054647"/>
    <w:rsid w:val="00084495"/>
    <w:rsid w:val="00091FF5"/>
    <w:rsid w:val="000A59C5"/>
    <w:rsid w:val="000C5B95"/>
    <w:rsid w:val="000F2E59"/>
    <w:rsid w:val="000F3784"/>
    <w:rsid w:val="001573C4"/>
    <w:rsid w:val="00183991"/>
    <w:rsid w:val="001948FA"/>
    <w:rsid w:val="001D7B00"/>
    <w:rsid w:val="00200C7B"/>
    <w:rsid w:val="00227909"/>
    <w:rsid w:val="00247549"/>
    <w:rsid w:val="00260951"/>
    <w:rsid w:val="002640C5"/>
    <w:rsid w:val="0027258E"/>
    <w:rsid w:val="002924B3"/>
    <w:rsid w:val="00296D96"/>
    <w:rsid w:val="002E3A28"/>
    <w:rsid w:val="002E6BCA"/>
    <w:rsid w:val="00305B7C"/>
    <w:rsid w:val="00313B14"/>
    <w:rsid w:val="00324BF0"/>
    <w:rsid w:val="00365121"/>
    <w:rsid w:val="0039159E"/>
    <w:rsid w:val="0039262B"/>
    <w:rsid w:val="0039359D"/>
    <w:rsid w:val="003B568A"/>
    <w:rsid w:val="003C6539"/>
    <w:rsid w:val="003D59D5"/>
    <w:rsid w:val="003D7D71"/>
    <w:rsid w:val="003E0073"/>
    <w:rsid w:val="0040008B"/>
    <w:rsid w:val="00401B24"/>
    <w:rsid w:val="00404F4B"/>
    <w:rsid w:val="00421369"/>
    <w:rsid w:val="00422737"/>
    <w:rsid w:val="004237D4"/>
    <w:rsid w:val="00432AFD"/>
    <w:rsid w:val="00442431"/>
    <w:rsid w:val="004C1F14"/>
    <w:rsid w:val="004E187C"/>
    <w:rsid w:val="004F2CE8"/>
    <w:rsid w:val="00507228"/>
    <w:rsid w:val="00512767"/>
    <w:rsid w:val="00515D62"/>
    <w:rsid w:val="00532D5C"/>
    <w:rsid w:val="00536CF4"/>
    <w:rsid w:val="00551C2E"/>
    <w:rsid w:val="00555504"/>
    <w:rsid w:val="00563009"/>
    <w:rsid w:val="005705CE"/>
    <w:rsid w:val="00576306"/>
    <w:rsid w:val="005812D9"/>
    <w:rsid w:val="005B0863"/>
    <w:rsid w:val="005B627F"/>
    <w:rsid w:val="005C2FB8"/>
    <w:rsid w:val="005D0093"/>
    <w:rsid w:val="00636B31"/>
    <w:rsid w:val="00642BCE"/>
    <w:rsid w:val="00693B10"/>
    <w:rsid w:val="006A7E96"/>
    <w:rsid w:val="006B27E7"/>
    <w:rsid w:val="006C25E1"/>
    <w:rsid w:val="006C2687"/>
    <w:rsid w:val="007041F9"/>
    <w:rsid w:val="00735BD6"/>
    <w:rsid w:val="00743CF0"/>
    <w:rsid w:val="00763387"/>
    <w:rsid w:val="00770F73"/>
    <w:rsid w:val="00780D1A"/>
    <w:rsid w:val="007F7417"/>
    <w:rsid w:val="0082564A"/>
    <w:rsid w:val="008646D9"/>
    <w:rsid w:val="0086723C"/>
    <w:rsid w:val="0089045E"/>
    <w:rsid w:val="008944E0"/>
    <w:rsid w:val="008A3ADD"/>
    <w:rsid w:val="008B22C3"/>
    <w:rsid w:val="008B6DA8"/>
    <w:rsid w:val="008D57A2"/>
    <w:rsid w:val="008D5BE6"/>
    <w:rsid w:val="009302DF"/>
    <w:rsid w:val="00931070"/>
    <w:rsid w:val="009321CC"/>
    <w:rsid w:val="00975035"/>
    <w:rsid w:val="0098098B"/>
    <w:rsid w:val="00991012"/>
    <w:rsid w:val="009C3438"/>
    <w:rsid w:val="009E0870"/>
    <w:rsid w:val="00A07A21"/>
    <w:rsid w:val="00A145D1"/>
    <w:rsid w:val="00A56E16"/>
    <w:rsid w:val="00A62DE7"/>
    <w:rsid w:val="00A72049"/>
    <w:rsid w:val="00A73D7B"/>
    <w:rsid w:val="00A84612"/>
    <w:rsid w:val="00AA7311"/>
    <w:rsid w:val="00AF2EC1"/>
    <w:rsid w:val="00B0013C"/>
    <w:rsid w:val="00B11719"/>
    <w:rsid w:val="00B20B1D"/>
    <w:rsid w:val="00B23213"/>
    <w:rsid w:val="00B4031F"/>
    <w:rsid w:val="00B44012"/>
    <w:rsid w:val="00B92F9D"/>
    <w:rsid w:val="00BA0862"/>
    <w:rsid w:val="00BA508D"/>
    <w:rsid w:val="00BD02BA"/>
    <w:rsid w:val="00BD4066"/>
    <w:rsid w:val="00BF454A"/>
    <w:rsid w:val="00C02D92"/>
    <w:rsid w:val="00C70404"/>
    <w:rsid w:val="00C7141F"/>
    <w:rsid w:val="00C839A5"/>
    <w:rsid w:val="00C94BF2"/>
    <w:rsid w:val="00CB6A37"/>
    <w:rsid w:val="00CC4922"/>
    <w:rsid w:val="00CF5316"/>
    <w:rsid w:val="00D04354"/>
    <w:rsid w:val="00D33E4B"/>
    <w:rsid w:val="00D52140"/>
    <w:rsid w:val="00D65564"/>
    <w:rsid w:val="00D93FED"/>
    <w:rsid w:val="00D96E1C"/>
    <w:rsid w:val="00DA097D"/>
    <w:rsid w:val="00DA151F"/>
    <w:rsid w:val="00DA1795"/>
    <w:rsid w:val="00DA3B8C"/>
    <w:rsid w:val="00DB69D3"/>
    <w:rsid w:val="00DD2F13"/>
    <w:rsid w:val="00DD5964"/>
    <w:rsid w:val="00DF3734"/>
    <w:rsid w:val="00DF3A31"/>
    <w:rsid w:val="00E11050"/>
    <w:rsid w:val="00E37CDC"/>
    <w:rsid w:val="00E52332"/>
    <w:rsid w:val="00E53740"/>
    <w:rsid w:val="00E60D16"/>
    <w:rsid w:val="00E7666F"/>
    <w:rsid w:val="00E9525A"/>
    <w:rsid w:val="00EB7C5D"/>
    <w:rsid w:val="00ED68D8"/>
    <w:rsid w:val="00EF04B9"/>
    <w:rsid w:val="00F03F3A"/>
    <w:rsid w:val="00F10E85"/>
    <w:rsid w:val="00F215BB"/>
    <w:rsid w:val="00F40D8F"/>
    <w:rsid w:val="00F62D7B"/>
    <w:rsid w:val="00F8289D"/>
    <w:rsid w:val="00F95F54"/>
    <w:rsid w:val="00FA1BDA"/>
    <w:rsid w:val="00FB146C"/>
    <w:rsid w:val="00FC5129"/>
    <w:rsid w:val="00FE5702"/>
    <w:rsid w:val="00FF796D"/>
    <w:rsid w:val="223E2A90"/>
    <w:rsid w:val="462C1EE2"/>
    <w:rsid w:val="5E82612F"/>
    <w:rsid w:val="637A56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仿宋_GB2312" w:hAnsi="MS Sans Serif" w:eastAsia="仿宋_GB2312" w:cs="Times New Roman"/>
      <w:sz w:val="32"/>
      <w:szCs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styleId="6">
    <w:name w:val="Hyperlink"/>
    <w:basedOn w:val="4"/>
    <w:uiPriority w:val="0"/>
    <w:rPr>
      <w:rFonts w:hint="default" w:ascii="ˎ̥" w:hAnsi="ˎ̥"/>
      <w:color w:val="0453CC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316</Words>
  <Characters>1802</Characters>
  <Lines>15</Lines>
  <Paragraphs>4</Paragraphs>
  <TotalTime>0</TotalTime>
  <ScaleCrop>false</ScaleCrop>
  <LinksUpToDate>false</LinksUpToDate>
  <CharactersWithSpaces>2114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2014-09-29T09:38:00Z</dcterms:created>
  <dc:creator>yc</dc:creator>
  <cp:lastModifiedBy>TF-PC</cp:lastModifiedBy>
  <cp:lastPrinted>2013-06-09T02:44:00Z</cp:lastPrinted>
  <dcterms:modified xsi:type="dcterms:W3CDTF">2018-08-27T09:40:40Z</dcterms:modified>
  <dc:title>                                       院   长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