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（2014）宝刑初字第474号</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被告人高玉强，男，1990年6月30日出生，天津市宝坻区</w:t>
      </w:r>
      <w:r>
        <w:rPr>
          <w:rFonts w:hint="eastAsia" w:ascii="仿宋_GB2312" w:hAnsi="宋体" w:eastAsia="仿宋_GB2312"/>
          <w:spacing w:val="6"/>
          <w:sz w:val="32"/>
        </w:rPr>
        <w:t xml:space="preserve">人，汉族，小学文化，农民，住天津市宝坻区方家庄镇北马营村。 </w:t>
      </w:r>
      <w:r>
        <w:rPr>
          <w:rFonts w:hint="eastAsia" w:ascii="仿宋_GB2312" w:hAnsi="宋体" w:eastAsia="仿宋_GB2312"/>
          <w:sz w:val="32"/>
        </w:rPr>
        <w:t>2014年7月26日因涉嫌信用卡诈骗罪被天津市公安局宝坻分局取保候审。现在居住地候审。</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2014）451号起诉书指控被告人高玉强犯信用卡诈骗罪，于2014年11月4日向本院提起公诉，并提出量刑建议。本院受理后，依法适用简易程序，实行独任审判，公开开庭进行了审理。天津市宝坻区人民检察院指派代理检察员王立忠出庭支持公诉。被告人高玉强到庭参加了诉讼。现已审理终结。</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指控，2013年4月，被告人高玉强办理了一张信用额度为5万元的中国民生银行信用卡（卡号：6226230181719145），自2013年5月6日至2013年6月16日用该信用卡进行透支消费。高玉强于2013年10月23日最后一次还款600元后未再还款。截至2014年4月22日，该信用卡欠本金49324元，后经民生银行多次催收仍未归还。</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2014年7月28日，被告人高玉强近亲属代高玉强归还所欠民生银行本金、利息、滞纳金共计70000元。</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高玉强在开庭审理过程中亦无异议，并有证人方楠、高东、章瑞宇证言笔录，信用卡、信用卡交易明细、还款票证，催收款证明，收款收据，租房协议，被告人供述及其他书证等证据证实，证据确实充分，足以认定。</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高玉强以非法占有为目的，使用银行卡恶意透支，数额较大，其行为已构成信用卡诈骗罪。天津市宝坻区人民检察院指控被告人高玉强犯罪及罪名成立。归案后，被告人如实供述自己所犯罪行；案发后，诈骗款已退还被害单位，上述均属法定和酌定从轻处罚情节。公诉机关的量刑建议适当，本院予以采纳。依照《中华人民共和国刑法》第一百九十六条第一款第（四）项，第六十七条第三款，第七十二条第一、三款，《最高人民法院、最高人民检察院关于办理妨害信用卡管理刑事案件具体应用法律若干问题的解释》第六条之规定判决如下：</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被告人高玉强犯信用卡诈骗罪，判处有期徒刑一年，缓刑二年，并处罚金人民币二万元。</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（缓刑考验期限，从判决确定之日起计算。罚金于判决生效后十日内交纳。）</w:t>
      </w:r>
    </w:p>
    <w:p>
      <w:pPr>
        <w:spacing w:line="602"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审  判  员    于德新</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二〇一四年十一月二十日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李  慧</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附相关法律条文：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 对于被判处拘役、三年以下有期徒刑的犯罪分子，根据犯罪分子的犯罪情节和悔罪表现，适用缓刑确实不致再危害社会的，可以宣告缓刑。</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被宣告缓刑的犯罪分子，如果被判处附加刑，附加刑仍须执行。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5</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4</w:t>
    </w:r>
    <w:r>
      <w:rPr>
        <w:rStyle w:val="8"/>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DE4"/>
    <w:rsid w:val="00037369"/>
    <w:rsid w:val="00042FAB"/>
    <w:rsid w:val="000D3CA9"/>
    <w:rsid w:val="000E5EDF"/>
    <w:rsid w:val="00131670"/>
    <w:rsid w:val="001512DC"/>
    <w:rsid w:val="00225B49"/>
    <w:rsid w:val="00232700"/>
    <w:rsid w:val="002D169E"/>
    <w:rsid w:val="002E6F04"/>
    <w:rsid w:val="00323A0E"/>
    <w:rsid w:val="00476A23"/>
    <w:rsid w:val="004C6727"/>
    <w:rsid w:val="005800F4"/>
    <w:rsid w:val="006041DB"/>
    <w:rsid w:val="00623CA4"/>
    <w:rsid w:val="0069122E"/>
    <w:rsid w:val="00694864"/>
    <w:rsid w:val="0076700B"/>
    <w:rsid w:val="007A01F8"/>
    <w:rsid w:val="007B1DE4"/>
    <w:rsid w:val="007F2BFA"/>
    <w:rsid w:val="00834DFF"/>
    <w:rsid w:val="00884A64"/>
    <w:rsid w:val="00937607"/>
    <w:rsid w:val="009C5B1E"/>
    <w:rsid w:val="009F1AB0"/>
    <w:rsid w:val="00A06722"/>
    <w:rsid w:val="00AD1A8F"/>
    <w:rsid w:val="00B574E9"/>
    <w:rsid w:val="00BC2504"/>
    <w:rsid w:val="00BF7268"/>
    <w:rsid w:val="00C30C54"/>
    <w:rsid w:val="00C63F43"/>
    <w:rsid w:val="00D343AF"/>
    <w:rsid w:val="00E7444C"/>
    <w:rsid w:val="00E95EAF"/>
    <w:rsid w:val="00F43FFC"/>
    <w:rsid w:val="00FB70C8"/>
    <w:rsid w:val="00FC0937"/>
    <w:rsid w:val="082224CD"/>
    <w:rsid w:val="36E62252"/>
    <w:rsid w:val="392A2356"/>
    <w:rsid w:val="6B2B3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uiPriority w:val="0"/>
    <w:pPr>
      <w:spacing w:line="500" w:lineRule="exact"/>
      <w:ind w:left="720"/>
    </w:pPr>
    <w:rPr>
      <w:rFonts w:eastAsia="仿宋_GB2312"/>
      <w:sz w:val="32"/>
    </w:r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jc w:val="left"/>
    </w:pPr>
    <w:rPr>
      <w:rFonts w:ascii="Arial Narrow" w:hAnsi="Arial Narrow" w:cs="宋体"/>
      <w:kern w:val="0"/>
      <w:sz w:val="18"/>
      <w:szCs w:val="18"/>
    </w:rPr>
  </w:style>
  <w:style w:type="paragraph" w:customStyle="1" w:styleId="7">
    <w:name w:val="Char"/>
    <w:basedOn w:val="1"/>
    <w:link w:val="6"/>
    <w:qFormat/>
    <w:uiPriority w:val="0"/>
    <w:pPr>
      <w:widowControl/>
      <w:spacing w:after="160" w:line="240" w:lineRule="exact"/>
      <w:jc w:val="left"/>
    </w:pPr>
    <w:rPr>
      <w:rFonts w:ascii="Verdana" w:hAnsi="Verdana" w:eastAsia="仿宋_GB2312"/>
      <w:kern w:val="0"/>
      <w:sz w:val="24"/>
      <w:szCs w:val="20"/>
      <w:lang w:eastAsia="en-US"/>
    </w:rPr>
  </w:style>
  <w:style w:type="character" w:styleId="8">
    <w:name w:val="page number"/>
    <w:basedOn w:val="6"/>
    <w:semiHidden/>
    <w:unhideWhenUsed/>
    <w:qFormat/>
    <w:uiPriority w:val="0"/>
  </w:style>
  <w:style w:type="character" w:styleId="9">
    <w:name w:val="Hyperlink"/>
    <w:basedOn w:val="6"/>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 Char Char"/>
    <w:basedOn w:val="6"/>
    <w:link w:val="3"/>
    <w:qFormat/>
    <w:uiPriority w:val="0"/>
    <w:rPr>
      <w:rFonts w:eastAsia="宋体"/>
      <w:kern w:val="2"/>
      <w:sz w:val="18"/>
      <w:szCs w:val="18"/>
      <w:lang w:val="en-US" w:eastAsia="zh-CN" w:bidi="ar-SA"/>
    </w:rPr>
  </w:style>
  <w:style w:type="character" w:customStyle="1" w:styleId="13">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1</Pages>
  <Words>345</Words>
  <Characters>1971</Characters>
  <Lines>16</Lines>
  <Paragraphs>4</Paragraphs>
  <TotalTime>0</TotalTime>
  <ScaleCrop>false</ScaleCrop>
  <LinksUpToDate>false</LinksUpToDate>
  <CharactersWithSpaces>2312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2011-05-27T02:11:00Z</dcterms:created>
  <dc:creator>软件仓库</dc:creator>
  <cp:lastModifiedBy>TF-PC</cp:lastModifiedBy>
  <cp:lastPrinted>2012-07-24T00:54:00Z</cp:lastPrinted>
  <dcterms:modified xsi:type="dcterms:W3CDTF">2018-08-27T09:40:42Z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