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ind w:right="-33" w:rightChars="-10"/>
        <w:jc w:val="center"/>
        <w:rPr>
          <w:rFonts w:hint="eastAsia" w:ascii="宋体" w:hAnsi="宋体" w:eastAsia="宋体"/>
          <w:spacing w:val="50"/>
          <w:sz w:val="44"/>
          <w:szCs w:val="44"/>
        </w:rPr>
      </w:pPr>
      <w:bookmarkStart w:id="0" w:name="_GoBack"/>
      <w:bookmarkEnd w:id="0"/>
      <w:r>
        <w:rPr>
          <w:rFonts w:hint="eastAsia" w:ascii="宋体" w:hAnsi="宋体" w:eastAsia="宋体"/>
          <w:spacing w:val="50"/>
          <w:sz w:val="44"/>
          <w:szCs w:val="44"/>
        </w:rPr>
        <w:t>天津市滨海新区人民法院</w:t>
      </w:r>
    </w:p>
    <w:p>
      <w:pPr>
        <w:spacing w:line="800" w:lineRule="exact"/>
        <w:ind w:right="-33" w:rightChars="-10"/>
        <w:jc w:val="center"/>
        <w:rPr>
          <w:rFonts w:hint="eastAsia" w:ascii="宋体" w:hAnsi="宋体" w:eastAsia="宋体"/>
          <w:b/>
          <w:bCs/>
          <w:spacing w:val="50"/>
          <w:sz w:val="18"/>
        </w:rPr>
      </w:pPr>
      <w:r>
        <w:rPr>
          <w:rFonts w:hint="eastAsia" w:ascii="宋体" w:hAnsi="宋体" w:eastAsia="宋体"/>
          <w:spacing w:val="50"/>
          <w:sz w:val="52"/>
        </w:rPr>
        <w:t>刑 事 判 决 书</w:t>
      </w:r>
    </w:p>
    <w:p>
      <w:pPr>
        <w:spacing w:line="300" w:lineRule="exact"/>
        <w:ind w:right="-33" w:rightChars="-10"/>
        <w:jc w:val="center"/>
        <w:rPr>
          <w:rFonts w:hint="eastAsia" w:ascii="仿宋_GB2312" w:hAnsi="华文中宋"/>
          <w:b/>
          <w:bCs/>
          <w:sz w:val="18"/>
        </w:rPr>
      </w:pPr>
    </w:p>
    <w:p>
      <w:pPr>
        <w:spacing w:line="440" w:lineRule="exact"/>
        <w:ind w:left="4201" w:right="-30" w:rightChars="-9"/>
        <w:rPr>
          <w:rFonts w:hint="eastAsia" w:ascii="仿宋_GB2312"/>
        </w:rPr>
      </w:pPr>
      <w:r>
        <w:rPr>
          <w:rFonts w:hint="eastAsia" w:ascii="仿宋_GB2312"/>
        </w:rPr>
        <w:t>（2014）滨塘刑初字第444号</w:t>
      </w:r>
    </w:p>
    <w:p>
      <w:pPr>
        <w:spacing w:line="500" w:lineRule="exact"/>
        <w:ind w:firstLine="674" w:firstLineChars="200"/>
        <w:rPr>
          <w:rFonts w:hint="eastAsia" w:ascii="仿宋_GB2312"/>
        </w:rPr>
      </w:pPr>
      <w:r>
        <w:rPr>
          <w:rFonts w:hint="eastAsia" w:ascii="仿宋_GB2312"/>
        </w:rPr>
        <w:t>公诉机关天津市滨海新区人民检察院。</w:t>
      </w:r>
    </w:p>
    <w:p>
      <w:pPr>
        <w:autoSpaceDE w:val="0"/>
        <w:autoSpaceDN w:val="0"/>
        <w:adjustRightInd w:val="0"/>
        <w:spacing w:line="500" w:lineRule="exact"/>
        <w:ind w:firstLine="674" w:firstLineChars="200"/>
        <w:jc w:val="left"/>
        <w:rPr>
          <w:rFonts w:hint="eastAsia" w:ascii="仿宋_GB2312" w:cs="宋体"/>
          <w:kern w:val="0"/>
          <w:lang w:val="zh-CN"/>
        </w:rPr>
      </w:pPr>
      <w:r>
        <w:rPr>
          <w:rFonts w:hint="eastAsia" w:ascii="仿宋_GB2312"/>
        </w:rPr>
        <w:t>被告人</w:t>
      </w:r>
      <w:r>
        <w:rPr>
          <w:rFonts w:hint="eastAsia" w:ascii="仿宋_GB2312" w:cs="宋体"/>
          <w:kern w:val="0"/>
          <w:lang w:val="zh-CN"/>
        </w:rPr>
        <w:t>候晓静，女，1989年2月24日出生于河北省盐山县，汉族，高中文化，河北省保定市徐水县徐水长城汽车有限公司员工，户籍地河北省沧州市盐山县常庄乡火龙店村133号。2014年5月6日因涉嫌犯信用卡诈骗罪被天津市滨海新区公安局塘沽分局刑事拘留，同年5月20日被依法逮捕。现羁押于天津市滨海新区第一看守所。</w:t>
      </w:r>
    </w:p>
    <w:p>
      <w:pPr>
        <w:autoSpaceDE w:val="0"/>
        <w:autoSpaceDN w:val="0"/>
        <w:adjustRightInd w:val="0"/>
        <w:spacing w:line="500" w:lineRule="exact"/>
        <w:jc w:val="left"/>
        <w:rPr>
          <w:rFonts w:hint="eastAsia" w:ascii="仿宋_GB2312"/>
        </w:rPr>
      </w:pPr>
      <w:r>
        <w:rPr>
          <w:rFonts w:hint="eastAsia" w:ascii="仿宋_GB2312" w:cs="宋体"/>
          <w:kern w:val="0"/>
          <w:lang w:val="zh-CN"/>
        </w:rPr>
        <w:t xml:space="preserve">    </w:t>
      </w:r>
      <w:r>
        <w:rPr>
          <w:rFonts w:hint="eastAsia" w:ascii="仿宋_GB2312"/>
        </w:rPr>
        <w:t>天津市滨海新区人民检察院以津滨检塘刑诉（2014）第371号起诉书指控被告人候晓静犯信用卡诈骗罪，于2014年7月30日向本院提起公诉，本院于同日立案后，依法适用简易程序，实行独任审判，公开开庭审理了本案。天津市滨海新区人民检察院指派代理检察员武洁出庭支持公诉。被告人候晓静到庭参加诉讼。现已审理终结。</w:t>
      </w:r>
    </w:p>
    <w:p>
      <w:pPr>
        <w:autoSpaceDE w:val="0"/>
        <w:autoSpaceDN w:val="0"/>
        <w:adjustRightInd w:val="0"/>
        <w:spacing w:line="500" w:lineRule="exact"/>
        <w:ind w:firstLine="674" w:firstLineChars="200"/>
        <w:jc w:val="left"/>
        <w:rPr>
          <w:rFonts w:hint="eastAsia" w:ascii="仿宋_GB2312" w:cs="宋体"/>
          <w:kern w:val="0"/>
          <w:lang w:val="zh-CN"/>
        </w:rPr>
      </w:pPr>
      <w:r>
        <w:rPr>
          <w:rFonts w:hint="eastAsia" w:ascii="仿宋_GB2312"/>
        </w:rPr>
        <w:t>天津市滨海新区人民检察院指控，</w:t>
      </w:r>
      <w:r>
        <w:rPr>
          <w:rFonts w:hint="eastAsia" w:ascii="仿宋_GB2312" w:cs="宋体"/>
          <w:kern w:val="0"/>
          <w:lang w:val="zh-CN"/>
        </w:rPr>
        <w:t>2013年10月7日，被告人候晓静伙同金岩奎（另案处理），利用被害人乜学振遗忘在天津市滨海新区塘沽胡家园街于庄子路农业银行自助取款机内的银行卡，盗取卡内现金人民币5900元。</w:t>
      </w:r>
    </w:p>
    <w:p>
      <w:pPr>
        <w:autoSpaceDE w:val="0"/>
        <w:autoSpaceDN w:val="0"/>
        <w:adjustRightInd w:val="0"/>
        <w:spacing w:line="500" w:lineRule="exact"/>
        <w:ind w:firstLine="674" w:firstLineChars="200"/>
        <w:jc w:val="left"/>
        <w:rPr>
          <w:rFonts w:hint="eastAsia" w:ascii="仿宋_GB2312" w:hAnsi="Arial" w:cs="Arial"/>
          <w:kern w:val="0"/>
        </w:rPr>
      </w:pPr>
      <w:r>
        <w:rPr>
          <w:rFonts w:hint="eastAsia" w:ascii="仿宋_GB2312"/>
          <w:kern w:val="0"/>
          <w:lang w:val="zh-CN"/>
        </w:rPr>
        <w:t>针对指控的事实，公诉机关当庭宣读和出示了相关证据。公诉</w:t>
      </w:r>
      <w:r>
        <w:rPr>
          <w:rFonts w:hint="eastAsia" w:ascii="仿宋_GB2312" w:hAnsi="Arial" w:cs="Arial"/>
          <w:kern w:val="0"/>
        </w:rPr>
        <w:t>机关认为，被告人候晓静的行为已构成信用卡诈骗罪，请求依据《中华人民共和国刑法》第一百九十六条第一款第（三）项之规定依法判处。</w:t>
      </w:r>
    </w:p>
    <w:p>
      <w:pPr>
        <w:spacing w:line="500" w:lineRule="exact"/>
        <w:ind w:firstLine="674" w:firstLineChars="200"/>
        <w:rPr>
          <w:rFonts w:hint="eastAsia" w:ascii="仿宋_GB2312"/>
        </w:rPr>
      </w:pPr>
      <w:r>
        <w:rPr>
          <w:rFonts w:hint="eastAsia" w:ascii="仿宋_GB2312"/>
        </w:rPr>
        <w:t>被告人候晓静对指控的事实供认不讳。</w:t>
      </w:r>
    </w:p>
    <w:p>
      <w:pPr>
        <w:autoSpaceDE w:val="0"/>
        <w:autoSpaceDN w:val="0"/>
        <w:adjustRightInd w:val="0"/>
        <w:spacing w:line="500" w:lineRule="exact"/>
        <w:ind w:firstLine="674" w:firstLineChars="200"/>
        <w:jc w:val="left"/>
        <w:rPr>
          <w:rFonts w:hint="eastAsia" w:ascii="仿宋_GB2312" w:cs="宋体"/>
          <w:kern w:val="0"/>
          <w:lang w:val="zh-CN"/>
        </w:rPr>
      </w:pPr>
      <w:r>
        <w:rPr>
          <w:rFonts w:hint="eastAsia" w:ascii="仿宋_GB2312"/>
        </w:rPr>
        <w:t>经审理查明：</w:t>
      </w:r>
      <w:r>
        <w:rPr>
          <w:rFonts w:hint="eastAsia" w:ascii="仿宋_GB2312" w:cs="宋体"/>
          <w:kern w:val="0"/>
          <w:lang w:val="zh-CN"/>
        </w:rPr>
        <w:t>2013年10月7日，被告人候晓静在天津市滨海新区塘沽胡家园街于庄子路农业银行自助取款机办理业务时，拾得被害人乜学振遗忘在该自助取款机的银行卡一张，并以帮助其转帐为由，骗得其银行卡密码，后将该卡及密码交给金岩奎（另案处理）并由金岩奎盗取卡内现金人民币5900元。2014年5月6日，被告人候晓静被抓获归案。</w:t>
      </w:r>
    </w:p>
    <w:p>
      <w:pPr>
        <w:autoSpaceDE w:val="0"/>
        <w:autoSpaceDN w:val="0"/>
        <w:adjustRightInd w:val="0"/>
        <w:spacing w:line="500" w:lineRule="exact"/>
        <w:ind w:firstLine="674" w:firstLineChars="200"/>
        <w:jc w:val="left"/>
        <w:rPr>
          <w:rFonts w:hint="eastAsia" w:ascii="仿宋_GB2312" w:cs="宋体"/>
          <w:kern w:val="0"/>
          <w:lang w:val="zh-CN"/>
        </w:rPr>
      </w:pPr>
      <w:r>
        <w:rPr>
          <w:rFonts w:hint="eastAsia" w:ascii="仿宋_GB2312" w:cs="宋体"/>
          <w:kern w:val="0"/>
          <w:lang w:val="zh-CN"/>
        </w:rPr>
        <w:t>2014年8月4日，被告人候晓静家属向本院缴纳退赔款5900元。</w:t>
      </w:r>
    </w:p>
    <w:p>
      <w:pPr>
        <w:autoSpaceDE w:val="0"/>
        <w:autoSpaceDN w:val="0"/>
        <w:adjustRightInd w:val="0"/>
        <w:spacing w:line="500" w:lineRule="exact"/>
        <w:ind w:firstLine="674" w:firstLineChars="200"/>
        <w:jc w:val="left"/>
        <w:rPr>
          <w:rFonts w:hint="eastAsia" w:ascii="仿宋_GB2312" w:cs="宋体"/>
          <w:kern w:val="0"/>
          <w:lang w:val="zh-CN"/>
        </w:rPr>
      </w:pPr>
      <w:r>
        <w:rPr>
          <w:rFonts w:hint="eastAsia" w:ascii="仿宋_GB2312" w:cs="宋体"/>
          <w:kern w:val="0"/>
          <w:lang w:val="zh-CN"/>
        </w:rPr>
        <w:t>上述事实，有公诉机关出具的案件来源、抓获经过，被害人乜学振陈述，被告人候晓静供述，辨认笔录，乜学振的尾号为2540的银行卡交易明细以及取款明细表，尾号为2679的农业银行卡个人信息，视频截图，情况说明，户籍证明，视频资料及调取证据通知书等证据予以证实。</w:t>
      </w:r>
    </w:p>
    <w:p>
      <w:pPr>
        <w:spacing w:line="500" w:lineRule="exact"/>
        <w:ind w:firstLine="674" w:firstLineChars="200"/>
        <w:rPr>
          <w:rFonts w:hint="eastAsia" w:ascii="仿宋_GB2312" w:hAnsi="Arial" w:cs="Arial"/>
          <w:kern w:val="0"/>
        </w:rPr>
      </w:pPr>
      <w:r>
        <w:rPr>
          <w:rFonts w:hint="eastAsia" w:ascii="仿宋_GB2312"/>
        </w:rPr>
        <w:t>以上证据经庭审质证，被告人无异议，证据的来源合法，能相互印证证明本案事实，对证据的证明效力予以确认。</w:t>
      </w:r>
    </w:p>
    <w:p>
      <w:pPr>
        <w:autoSpaceDE w:val="0"/>
        <w:autoSpaceDN w:val="0"/>
        <w:adjustRightInd w:val="0"/>
        <w:spacing w:line="500" w:lineRule="exact"/>
        <w:ind w:firstLine="674" w:firstLineChars="200"/>
        <w:jc w:val="left"/>
        <w:rPr>
          <w:rFonts w:hint="eastAsia" w:ascii="仿宋_GB2312" w:cs="宋体"/>
          <w:kern w:val="0"/>
          <w:lang w:val="zh-CN"/>
        </w:rPr>
      </w:pPr>
      <w:r>
        <w:rPr>
          <w:rFonts w:hint="eastAsia" w:ascii="仿宋_GB2312"/>
        </w:rPr>
        <w:t>本院认为，</w:t>
      </w:r>
      <w:r>
        <w:rPr>
          <w:rFonts w:hint="eastAsia" w:ascii="仿宋_GB2312" w:cs="宋体"/>
          <w:kern w:val="0"/>
          <w:lang w:val="zh-CN"/>
        </w:rPr>
        <w:t>被告人</w:t>
      </w:r>
      <w:r>
        <w:rPr>
          <w:rFonts w:hint="eastAsia" w:ascii="仿宋_GB2312"/>
        </w:rPr>
        <w:t>候晓静以非法占有为目的，冒用他人信用卡骗取钱财，数额较大，</w:t>
      </w:r>
      <w:r>
        <w:rPr>
          <w:rFonts w:hint="eastAsia" w:ascii="仿宋_GB2312" w:cs="宋体"/>
          <w:kern w:val="0"/>
          <w:lang w:val="zh-CN"/>
        </w:rPr>
        <w:t>其行为已构成信用卡诈骗罪。公诉机关指控的罪名成立。鉴于被告人候晓静能够积极退赔被害人损失，且能如实供述所犯罪行，依法可以从轻处罚。据此，对被告人依照《中华人民共和国刑法》第一百九十六条第一款第（三）项、</w:t>
      </w:r>
      <w:r>
        <w:rPr>
          <w:rFonts w:hint="eastAsia" w:ascii="仿宋_GB2312"/>
        </w:rPr>
        <w:t>第七十二条第一款、第三款、第七十三条第三款、第七十六条、</w:t>
      </w:r>
      <w:r>
        <w:rPr>
          <w:rFonts w:hint="eastAsia" w:ascii="仿宋_GB2312" w:cs="宋体"/>
          <w:kern w:val="0"/>
          <w:lang w:val="zh-CN"/>
        </w:rPr>
        <w:t xml:space="preserve">第六十七条第三款、第五十三条、第六十四条之规定，判决如下：   </w:t>
      </w:r>
    </w:p>
    <w:p>
      <w:pPr>
        <w:autoSpaceDE w:val="0"/>
        <w:autoSpaceDN w:val="0"/>
        <w:adjustRightInd w:val="0"/>
        <w:spacing w:line="500" w:lineRule="exact"/>
        <w:jc w:val="left"/>
        <w:rPr>
          <w:rFonts w:hint="eastAsia" w:ascii="仿宋_GB2312" w:cs="宋体"/>
          <w:kern w:val="0"/>
          <w:lang w:val="zh-CN"/>
        </w:rPr>
      </w:pPr>
      <w:r>
        <w:rPr>
          <w:rFonts w:hint="eastAsia" w:ascii="仿宋_GB2312" w:cs="宋体"/>
          <w:kern w:val="0"/>
          <w:lang w:val="zh-CN"/>
        </w:rPr>
        <w:t xml:space="preserve">    一、被告人</w:t>
      </w:r>
      <w:r>
        <w:rPr>
          <w:rFonts w:hint="eastAsia" w:ascii="仿宋_GB2312"/>
        </w:rPr>
        <w:t>候晓静</w:t>
      </w:r>
      <w:r>
        <w:rPr>
          <w:rFonts w:hint="eastAsia" w:ascii="仿宋_GB2312" w:cs="宋体"/>
          <w:kern w:val="0"/>
          <w:lang w:val="zh-CN"/>
        </w:rPr>
        <w:t>犯信用卡诈骗罪，判处有期徒刑六个月，缓刑六个月，并处罚金人民币20000元。</w:t>
      </w:r>
    </w:p>
    <w:p>
      <w:pPr>
        <w:autoSpaceDE w:val="0"/>
        <w:autoSpaceDN w:val="0"/>
        <w:adjustRightInd w:val="0"/>
        <w:spacing w:line="500" w:lineRule="exact"/>
        <w:ind w:firstLine="674" w:firstLineChars="200"/>
        <w:jc w:val="left"/>
        <w:rPr>
          <w:rFonts w:hint="eastAsia" w:ascii="仿宋_GB2312"/>
          <w:kern w:val="0"/>
          <w:lang w:val="zh-CN"/>
        </w:rPr>
      </w:pPr>
      <w:r>
        <w:rPr>
          <w:rFonts w:hint="eastAsia" w:ascii="仿宋_GB2312"/>
          <w:kern w:val="0"/>
          <w:lang w:val="zh-CN"/>
        </w:rPr>
        <w:t>（</w:t>
      </w:r>
      <w:r>
        <w:rPr>
          <w:rFonts w:hint="eastAsia" w:ascii="仿宋_GB2312"/>
        </w:rPr>
        <w:t>罚金自本判决生效后一个月内向本院缴纳。</w:t>
      </w:r>
      <w:r>
        <w:rPr>
          <w:rFonts w:hint="eastAsia" w:ascii="仿宋_GB2312"/>
          <w:kern w:val="0"/>
          <w:lang w:val="zh-CN"/>
        </w:rPr>
        <w:t>）</w:t>
      </w:r>
    </w:p>
    <w:p>
      <w:pPr>
        <w:autoSpaceDE w:val="0"/>
        <w:autoSpaceDN w:val="0"/>
        <w:adjustRightInd w:val="0"/>
        <w:spacing w:line="500" w:lineRule="exact"/>
        <w:ind w:firstLine="675"/>
        <w:jc w:val="left"/>
        <w:rPr>
          <w:rFonts w:hint="eastAsia" w:ascii="仿宋_GB2312" w:cs="宋体"/>
          <w:kern w:val="0"/>
          <w:lang w:val="zh-CN"/>
        </w:rPr>
      </w:pPr>
      <w:r>
        <w:rPr>
          <w:rFonts w:hint="eastAsia" w:ascii="仿宋_GB2312" w:cs="宋体"/>
          <w:kern w:val="0"/>
          <w:lang w:val="zh-CN"/>
        </w:rPr>
        <w:t>二、被告人</w:t>
      </w:r>
      <w:r>
        <w:rPr>
          <w:rFonts w:hint="eastAsia" w:ascii="仿宋_GB2312"/>
        </w:rPr>
        <w:t>候晓静</w:t>
      </w:r>
      <w:r>
        <w:rPr>
          <w:rFonts w:hint="eastAsia" w:ascii="仿宋_GB2312" w:cs="宋体"/>
          <w:kern w:val="0"/>
          <w:lang w:val="zh-CN"/>
        </w:rPr>
        <w:t>在缓刑考验期限内，依法实行社区矫正；</w:t>
      </w:r>
    </w:p>
    <w:p>
      <w:pPr>
        <w:autoSpaceDE w:val="0"/>
        <w:autoSpaceDN w:val="0"/>
        <w:adjustRightInd w:val="0"/>
        <w:spacing w:line="500" w:lineRule="exact"/>
        <w:ind w:firstLine="674" w:firstLineChars="200"/>
        <w:jc w:val="left"/>
        <w:rPr>
          <w:rFonts w:hint="eastAsia" w:ascii="仿宋_GB2312"/>
          <w:kern w:val="0"/>
          <w:lang w:val="zh-CN"/>
        </w:rPr>
      </w:pPr>
      <w:r>
        <w:rPr>
          <w:rFonts w:hint="eastAsia" w:ascii="仿宋_GB2312" w:cs="宋体"/>
          <w:kern w:val="0"/>
          <w:lang w:val="zh-CN"/>
        </w:rPr>
        <w:t>三、缓刑考验期限，从判决确定之日起计算。</w:t>
      </w:r>
    </w:p>
    <w:p>
      <w:pPr>
        <w:autoSpaceDE w:val="0"/>
        <w:autoSpaceDN w:val="0"/>
        <w:adjustRightInd w:val="0"/>
        <w:spacing w:line="500" w:lineRule="exact"/>
        <w:ind w:firstLine="674" w:firstLineChars="200"/>
        <w:jc w:val="left"/>
        <w:rPr>
          <w:rFonts w:hint="eastAsia" w:ascii="仿宋_GB2312" w:cs="宋体"/>
          <w:kern w:val="0"/>
          <w:lang w:val="zh-CN"/>
        </w:rPr>
      </w:pPr>
      <w:r>
        <w:rPr>
          <w:rFonts w:hint="eastAsia" w:ascii="仿宋_GB2312"/>
          <w:kern w:val="0"/>
          <w:lang w:val="zh-CN"/>
        </w:rPr>
        <w:t>四、</w:t>
      </w:r>
      <w:r>
        <w:rPr>
          <w:rFonts w:hint="eastAsia" w:ascii="仿宋_GB2312" w:cs="宋体"/>
          <w:kern w:val="0"/>
          <w:lang w:val="zh-CN"/>
        </w:rPr>
        <w:t>被告人候晓静缴纳的退赔款5900元依法发还被害人乜学振。</w:t>
      </w:r>
    </w:p>
    <w:p>
      <w:pPr>
        <w:spacing w:line="500" w:lineRule="exact"/>
        <w:ind w:firstLine="674" w:firstLineChars="200"/>
        <w:rPr>
          <w:rFonts w:hint="eastAsia" w:ascii="仿宋_GB2312" w:hAnsi="宋体"/>
        </w:rPr>
      </w:pPr>
      <w:r>
        <w:rPr>
          <w:rFonts w:hint="eastAsia" w:ascii="仿宋_GB2312"/>
        </w:rPr>
        <w:t xml:space="preserve">如不服本判决，可在接到判决书的第二日起十日内，通过本院或者直接向天津市第二中级人民法院提出上诉。书面上诉的，应当提交上诉状正本一份，副本二份。  </w:t>
      </w:r>
      <w:r>
        <w:rPr>
          <w:rFonts w:hint="eastAsia" w:ascii="仿宋_GB2312" w:hAnsi="宋体"/>
        </w:rPr>
        <w:t xml:space="preserve">                  </w:t>
      </w:r>
    </w:p>
    <w:p>
      <w:pPr>
        <w:spacing w:line="500" w:lineRule="exact"/>
        <w:ind w:right="-33" w:rightChars="-10" w:firstLine="674" w:firstLineChars="200"/>
        <w:jc w:val="right"/>
        <w:rPr>
          <w:rFonts w:hint="eastAsia" w:ascii="仿宋_GB2312" w:hAnsi="宋体"/>
        </w:rPr>
      </w:pPr>
      <w:r>
        <w:rPr>
          <w:rFonts w:hint="eastAsia" w:ascii="仿宋_GB2312" w:hAnsi="宋体"/>
        </w:rPr>
        <w:t>代理审判员     周庆春</w:t>
      </w:r>
    </w:p>
    <w:p>
      <w:pPr>
        <w:tabs>
          <w:tab w:val="left" w:pos="6090"/>
        </w:tabs>
        <w:spacing w:line="500" w:lineRule="exact"/>
        <w:ind w:right="-33" w:rightChars="-10" w:firstLine="674" w:firstLineChars="200"/>
        <w:jc w:val="right"/>
        <w:rPr>
          <w:rFonts w:hint="eastAsia" w:ascii="仿宋_GB2312" w:hAnsi="宋体"/>
        </w:rPr>
      </w:pPr>
      <w:r>
        <w:rPr>
          <w:rFonts w:hint="eastAsia" w:ascii="仿宋_GB2312" w:hAnsi="宋体"/>
        </w:rPr>
        <w:t xml:space="preserve">                             </w:t>
      </w:r>
    </w:p>
    <w:p>
      <w:pPr>
        <w:tabs>
          <w:tab w:val="left" w:pos="6090"/>
        </w:tabs>
        <w:spacing w:line="500" w:lineRule="exact"/>
        <w:ind w:right="-33" w:rightChars="-10" w:firstLine="3201" w:firstLineChars="950"/>
        <w:jc w:val="right"/>
        <w:rPr>
          <w:rFonts w:hint="eastAsia" w:ascii="仿宋_GB2312" w:hAnsi="仿宋_GB2312" w:cs="仿宋_GB2312"/>
        </w:rPr>
      </w:pPr>
      <w:r>
        <w:rPr>
          <w:rFonts w:hint="eastAsia" w:ascii="仿宋_GB2312" w:hAnsi="宋体"/>
        </w:rPr>
        <w:t xml:space="preserve">           二</w:t>
      </w:r>
      <w:r>
        <w:rPr>
          <w:rFonts w:hint="eastAsia" w:ascii="仿宋_GB2312" w:hAnsi="宋体" w:eastAsia="宋体" w:cs="宋体"/>
        </w:rPr>
        <w:t>〇</w:t>
      </w:r>
      <w:r>
        <w:rPr>
          <w:rFonts w:hint="eastAsia" w:ascii="仿宋_GB2312" w:hAnsi="仿宋_GB2312" w:cs="仿宋_GB2312"/>
        </w:rPr>
        <w:t>一四年八月      日</w:t>
      </w:r>
    </w:p>
    <w:p>
      <w:pPr>
        <w:tabs>
          <w:tab w:val="left" w:pos="6090"/>
        </w:tabs>
        <w:spacing w:line="500" w:lineRule="exact"/>
        <w:ind w:right="-33" w:rightChars="-10" w:firstLine="3201" w:firstLineChars="950"/>
        <w:jc w:val="right"/>
        <w:rPr>
          <w:rFonts w:hint="eastAsia" w:ascii="仿宋_GB2312" w:hAnsi="仿宋_GB2312" w:cs="仿宋_GB2312"/>
        </w:rPr>
      </w:pPr>
      <w:r>
        <w:rPr>
          <w:rFonts w:hint="eastAsia" w:ascii="仿宋_GB2312" w:hAnsi="仿宋_GB2312" w:cs="仿宋_GB2312"/>
        </w:rPr>
        <w:t xml:space="preserve">        </w:t>
      </w:r>
    </w:p>
    <w:p>
      <w:pPr>
        <w:tabs>
          <w:tab w:val="left" w:pos="6090"/>
        </w:tabs>
        <w:spacing w:line="500" w:lineRule="exact"/>
        <w:ind w:right="-33" w:rightChars="-10" w:firstLine="5055" w:firstLineChars="1500"/>
        <w:jc w:val="right"/>
        <w:rPr>
          <w:rFonts w:hint="eastAsia" w:ascii="仿宋_GB2312" w:hAnsi="宋体"/>
        </w:rPr>
      </w:pPr>
      <w:r>
        <w:rPr>
          <w:rFonts w:hint="eastAsia" w:ascii="仿宋_GB2312" w:hAnsi="宋体"/>
        </w:rPr>
        <w:t>书  记  员     杨惠文</w:t>
      </w:r>
    </w:p>
    <w:p>
      <w:pPr>
        <w:tabs>
          <w:tab w:val="left" w:pos="6090"/>
        </w:tabs>
        <w:spacing w:line="500" w:lineRule="exact"/>
        <w:ind w:right="-33" w:rightChars="-10"/>
        <w:rPr>
          <w:rFonts w:hint="eastAsia" w:ascii="仿宋_GB2312" w:hAnsi="宋体"/>
          <w:b/>
        </w:rPr>
      </w:pPr>
      <w:r>
        <w:rPr>
          <w:rFonts w:hint="eastAsia" w:ascii="仿宋_GB2312" w:hAnsi="宋体"/>
          <w:b/>
        </w:rPr>
        <w:t>附：法律释明</w:t>
      </w:r>
    </w:p>
    <w:p>
      <w:pPr>
        <w:spacing w:line="500" w:lineRule="exact"/>
        <w:ind w:firstLine="674" w:firstLineChars="200"/>
        <w:rPr>
          <w:rFonts w:hint="eastAsia" w:ascii="仿宋_GB2312" w:hAnsi="宋体" w:cs="宋体"/>
          <w:bCs/>
          <w:kern w:val="0"/>
        </w:rPr>
      </w:pPr>
      <w:r>
        <w:rPr>
          <w:rFonts w:hint="eastAsia" w:ascii="仿宋_GB2312" w:hAnsi="宋体"/>
        </w:rPr>
        <w:t>1.《中华人民共和国刑法》</w:t>
      </w:r>
      <w:r>
        <w:rPr>
          <w:rFonts w:hint="eastAsia" w:ascii="仿宋_GB2312" w:hAnsi="宋体" w:cs="宋体"/>
          <w:bCs/>
          <w:kern w:val="0"/>
        </w:rPr>
        <w:t>第一百九十六条：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00" w:lineRule="exact"/>
        <w:rPr>
          <w:rFonts w:hint="eastAsia" w:ascii="仿宋_GB2312" w:hAnsi="宋体" w:cs="宋体"/>
          <w:bCs/>
          <w:kern w:val="0"/>
        </w:rPr>
      </w:pPr>
      <w:r>
        <w:rPr>
          <w:rFonts w:hint="eastAsia" w:ascii="仿宋_GB2312" w:hAnsi="宋体" w:cs="宋体"/>
          <w:bCs/>
          <w:kern w:val="0"/>
        </w:rPr>
        <w:t xml:space="preserve">　　（一）使用伪造的信用卡，或者使用以虚假的身份证明骗领的信用卡的； </w:t>
      </w:r>
    </w:p>
    <w:p>
      <w:pPr>
        <w:spacing w:line="500" w:lineRule="exact"/>
        <w:rPr>
          <w:rFonts w:hint="eastAsia" w:ascii="仿宋_GB2312" w:hAnsi="宋体" w:cs="宋体"/>
          <w:bCs/>
          <w:kern w:val="0"/>
        </w:rPr>
      </w:pPr>
      <w:r>
        <w:rPr>
          <w:rFonts w:hint="eastAsia" w:ascii="仿宋_GB2312" w:hAnsi="宋体" w:cs="宋体"/>
          <w:bCs/>
          <w:kern w:val="0"/>
        </w:rPr>
        <w:t xml:space="preserve">　　（二）使用作废的信用卡的； </w:t>
      </w:r>
    </w:p>
    <w:p>
      <w:pPr>
        <w:spacing w:line="500" w:lineRule="exact"/>
        <w:rPr>
          <w:rFonts w:hint="eastAsia" w:ascii="仿宋_GB2312" w:hAnsi="宋体" w:cs="宋体"/>
          <w:bCs/>
          <w:kern w:val="0"/>
        </w:rPr>
      </w:pPr>
      <w:r>
        <w:rPr>
          <w:rFonts w:hint="eastAsia" w:ascii="仿宋_GB2312" w:hAnsi="宋体" w:cs="宋体"/>
          <w:bCs/>
          <w:kern w:val="0"/>
        </w:rPr>
        <w:t xml:space="preserve">　　（三）冒用他人信用卡的； </w:t>
      </w:r>
    </w:p>
    <w:p>
      <w:pPr>
        <w:spacing w:line="500" w:lineRule="exact"/>
        <w:rPr>
          <w:rFonts w:hint="eastAsia" w:ascii="仿宋_GB2312" w:hAnsi="宋体" w:cs="宋体"/>
          <w:bCs/>
          <w:kern w:val="0"/>
        </w:rPr>
      </w:pPr>
      <w:r>
        <w:rPr>
          <w:rFonts w:hint="eastAsia" w:ascii="仿宋_GB2312" w:hAnsi="宋体" w:cs="宋体"/>
          <w:bCs/>
          <w:kern w:val="0"/>
        </w:rPr>
        <w:t xml:space="preserve">　　（四）恶意透支的。 </w:t>
      </w:r>
    </w:p>
    <w:p>
      <w:pPr>
        <w:spacing w:line="500" w:lineRule="exact"/>
        <w:rPr>
          <w:rFonts w:hint="eastAsia" w:ascii="仿宋_GB2312" w:hAnsi="宋体" w:cs="宋体"/>
          <w:bCs/>
          <w:kern w:val="0"/>
        </w:rPr>
      </w:pPr>
      <w:r>
        <w:rPr>
          <w:rFonts w:hint="eastAsia" w:ascii="仿宋_GB2312" w:hAnsi="宋体" w:cs="宋体"/>
          <w:bCs/>
          <w:kern w:val="0"/>
        </w:rPr>
        <w:t xml:space="preserve">　　前款所称恶意透支，是指持卡人以非法占有为目的，超过规定限额或者规定期限透支，并且经发卡银行催收后仍不归还的行为。 </w:t>
      </w:r>
    </w:p>
    <w:p>
      <w:pPr>
        <w:spacing w:line="500" w:lineRule="exact"/>
        <w:rPr>
          <w:rFonts w:hint="eastAsia" w:ascii="仿宋_GB2312" w:hAnsi="宋体" w:cs="宋体"/>
          <w:bCs/>
          <w:kern w:val="0"/>
        </w:rPr>
      </w:pPr>
      <w:r>
        <w:rPr>
          <w:rFonts w:hint="eastAsia" w:ascii="仿宋_GB2312" w:hAnsi="宋体" w:cs="宋体"/>
          <w:bCs/>
          <w:kern w:val="0"/>
        </w:rPr>
        <w:t>　　盗窃信用卡并使用的，依照本法第二百六十四条的规定定罪处罚。”</w:t>
      </w:r>
    </w:p>
    <w:p>
      <w:pPr>
        <w:spacing w:line="500" w:lineRule="exact"/>
        <w:ind w:firstLine="674" w:firstLineChars="200"/>
        <w:rPr>
          <w:rFonts w:hint="eastAsia" w:ascii="仿宋_GB2312" w:hAnsi="宋体" w:cs="宋体"/>
          <w:bCs/>
          <w:kern w:val="0"/>
        </w:rPr>
      </w:pPr>
      <w:r>
        <w:rPr>
          <w:rFonts w:hint="eastAsia" w:ascii="仿宋_GB2312" w:hAnsi="宋体" w:cs="宋体"/>
          <w:bCs/>
          <w:kern w:val="0"/>
        </w:rPr>
        <w:t>2.《中华人民共和国刑法》第六十七条第三款：犯罪嫌疑人虽不具有前两款规定的自首情节，但是如实供述自己罪行的，可以从轻处罚；因其如实供述自己罪行，避免特别严重后果发生的，可以减轻处罚。</w:t>
      </w:r>
    </w:p>
    <w:p>
      <w:pPr>
        <w:spacing w:line="500" w:lineRule="exact"/>
        <w:ind w:firstLine="674" w:firstLineChars="200"/>
        <w:rPr>
          <w:rFonts w:hint="eastAsia" w:ascii="仿宋_GB2312" w:hAnsi="宋体" w:cs="宋体"/>
          <w:bCs/>
          <w:kern w:val="0"/>
        </w:rPr>
      </w:pPr>
      <w:r>
        <w:rPr>
          <w:rFonts w:hint="eastAsia" w:ascii="仿宋_GB2312" w:hAnsi="宋体" w:cs="宋体"/>
          <w:bCs/>
          <w:kern w:val="0"/>
        </w:rPr>
        <w:t>3.</w:t>
      </w:r>
      <w:r>
        <w:rPr>
          <w:rFonts w:hint="eastAsia" w:ascii="仿宋_GB2312" w:hAnsi="Arial" w:cs="Arial"/>
          <w:kern w:val="0"/>
        </w:rPr>
        <w:t>《中华人民共和国刑法》</w:t>
      </w:r>
      <w:r>
        <w:rPr>
          <w:rFonts w:hint="eastAsia" w:ascii="仿宋_GB2312" w:hAnsi="宋体" w:cs="宋体"/>
          <w:bCs/>
          <w:kern w:val="0"/>
        </w:rPr>
        <w:t>第五十三条：罚金在判决指定的期限内一次或者分期缴纳。期满不缴纳的，强制缴纳。对于不能全部缴纳罚金的，人民法院在任何时候发现被执行人有可以执行的财产，应当随时追缴。如果由于遭遇不能抗拒的灾祸缴纳确实有困难的，可以酌情减少或者免除。</w:t>
      </w:r>
    </w:p>
    <w:p>
      <w:pPr>
        <w:spacing w:line="500" w:lineRule="exact"/>
        <w:ind w:firstLine="674" w:firstLineChars="200"/>
        <w:rPr>
          <w:rFonts w:hint="eastAsia" w:ascii="仿宋_GB2312" w:hAnsi="宋体" w:cs="宋体"/>
          <w:bCs/>
          <w:kern w:val="0"/>
        </w:rPr>
      </w:pPr>
      <w:r>
        <w:rPr>
          <w:rFonts w:hint="eastAsia" w:ascii="仿宋_GB2312" w:hAnsi="宋体" w:cs="宋体"/>
          <w:bCs/>
          <w:kern w:val="0"/>
        </w:rPr>
        <w:t>4. 《中华人民共和国刑法》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00" w:lineRule="exact"/>
        <w:ind w:firstLine="674" w:firstLineChars="200"/>
        <w:rPr>
          <w:rFonts w:hint="eastAsia" w:ascii="仿宋_GB2312" w:hAnsi="宋体" w:cs="宋体"/>
          <w:kern w:val="0"/>
          <w:szCs w:val="21"/>
        </w:rPr>
      </w:pPr>
      <w:r>
        <w:rPr>
          <w:rFonts w:hint="eastAsia" w:ascii="仿宋_GB2312" w:hAnsi="宋体" w:cs="宋体"/>
          <w:bCs/>
          <w:kern w:val="0"/>
        </w:rPr>
        <w:t>5.</w:t>
      </w:r>
      <w:r>
        <w:rPr>
          <w:rFonts w:hint="eastAsia" w:ascii="仿宋_GB2312" w:cs="宋体"/>
          <w:kern w:val="0"/>
          <w:lang w:val="zh-CN"/>
        </w:rPr>
        <w:t>《中华人民共和国刑法》第七十二条第一款：</w:t>
      </w:r>
      <w:r>
        <w:rPr>
          <w:rFonts w:hint="eastAsia" w:ascii="仿宋_GB2312" w:hAnsi="宋体" w:cs="宋体"/>
          <w:kern w:val="0"/>
          <w:szCs w:val="21"/>
        </w:rPr>
        <w:t>对于被判处拘役、三年以下有期徒刑的犯罪分子，同时符合下列条件的，可以宣告缓刑，对其中不满十八周岁的人、怀孕的妇女和已满七十五周岁的人，应当宣告缓刑：</w:t>
      </w:r>
      <w:r>
        <w:rPr>
          <w:rFonts w:hint="eastAsia" w:ascii="仿宋_GB2312" w:hAnsi="宋体" w:cs="宋体"/>
          <w:kern w:val="0"/>
          <w:szCs w:val="21"/>
        </w:rPr>
        <w:br w:type="textWrapping"/>
      </w:r>
      <w:r>
        <w:rPr>
          <w:rFonts w:hint="eastAsia" w:ascii="仿宋_GB2312" w:hAnsi="宋体" w:cs="宋体"/>
          <w:kern w:val="0"/>
          <w:szCs w:val="21"/>
        </w:rPr>
        <w:t>　　（一）犯罪情节较轻；</w:t>
      </w:r>
      <w:r>
        <w:rPr>
          <w:rFonts w:hint="eastAsia" w:ascii="仿宋_GB2312" w:hAnsi="宋体" w:cs="宋体"/>
          <w:kern w:val="0"/>
          <w:szCs w:val="21"/>
        </w:rPr>
        <w:br w:type="textWrapping"/>
      </w:r>
      <w:r>
        <w:rPr>
          <w:rFonts w:hint="eastAsia" w:ascii="仿宋_GB2312" w:hAnsi="宋体" w:cs="宋体"/>
          <w:kern w:val="0"/>
          <w:szCs w:val="21"/>
        </w:rPr>
        <w:t>　　（二）有悔罪表现；</w:t>
      </w:r>
      <w:r>
        <w:rPr>
          <w:rFonts w:hint="eastAsia" w:ascii="仿宋_GB2312" w:hAnsi="宋体" w:cs="宋体"/>
          <w:kern w:val="0"/>
          <w:szCs w:val="21"/>
        </w:rPr>
        <w:br w:type="textWrapping"/>
      </w:r>
      <w:r>
        <w:rPr>
          <w:rFonts w:hint="eastAsia" w:ascii="仿宋_GB2312" w:hAnsi="宋体" w:cs="宋体"/>
          <w:kern w:val="0"/>
          <w:szCs w:val="21"/>
        </w:rPr>
        <w:t>　　（三）没有再犯罪的危险；</w:t>
      </w:r>
      <w:r>
        <w:rPr>
          <w:rFonts w:hint="eastAsia" w:ascii="仿宋_GB2312" w:hAnsi="宋体" w:cs="宋体"/>
          <w:kern w:val="0"/>
          <w:szCs w:val="21"/>
        </w:rPr>
        <w:br w:type="textWrapping"/>
      </w:r>
      <w:r>
        <w:rPr>
          <w:rFonts w:hint="eastAsia" w:ascii="仿宋_GB2312" w:hAnsi="宋体" w:cs="宋体"/>
          <w:kern w:val="0"/>
          <w:szCs w:val="21"/>
        </w:rPr>
        <w:t>　　（四）宣告缓刑对所居住社区没有重大不良影响。</w:t>
      </w:r>
    </w:p>
    <w:p>
      <w:pPr>
        <w:spacing w:line="500" w:lineRule="exact"/>
        <w:ind w:firstLine="674" w:firstLineChars="200"/>
        <w:rPr>
          <w:rFonts w:hint="eastAsia" w:ascii="仿宋_GB2312" w:cs="宋体"/>
          <w:kern w:val="0"/>
          <w:lang w:val="zh-CN"/>
        </w:rPr>
      </w:pPr>
      <w:r>
        <w:rPr>
          <w:rFonts w:hint="eastAsia" w:ascii="仿宋_GB2312" w:hAnsi="宋体" w:cs="宋体"/>
          <w:kern w:val="0"/>
          <w:szCs w:val="21"/>
        </w:rPr>
        <w:t>第三</w:t>
      </w:r>
      <w:r>
        <w:rPr>
          <w:rFonts w:hint="eastAsia" w:ascii="仿宋_GB2312" w:cs="宋体"/>
          <w:kern w:val="0"/>
          <w:lang w:val="zh-CN"/>
        </w:rPr>
        <w:t>款：被宣告缓刑的犯罪分子，如果被判处附加刑，附加刑仍须执行。</w:t>
      </w:r>
    </w:p>
    <w:p>
      <w:pPr>
        <w:spacing w:line="500" w:lineRule="exact"/>
        <w:ind w:firstLine="674" w:firstLineChars="200"/>
        <w:rPr>
          <w:rFonts w:hint="eastAsia" w:ascii="仿宋_GB2312" w:hAnsi="宋体" w:cs="宋体"/>
          <w:kern w:val="0"/>
          <w:szCs w:val="21"/>
        </w:rPr>
      </w:pPr>
      <w:r>
        <w:rPr>
          <w:rFonts w:hint="eastAsia" w:ascii="仿宋_GB2312" w:hAnsi="宋体" w:cs="宋体"/>
          <w:kern w:val="0"/>
          <w:szCs w:val="21"/>
        </w:rPr>
        <w:t>6.</w:t>
      </w:r>
      <w:r>
        <w:rPr>
          <w:rFonts w:hint="eastAsia" w:ascii="仿宋_GB2312" w:cs="宋体"/>
          <w:kern w:val="0"/>
          <w:lang w:val="zh-CN"/>
        </w:rPr>
        <w:t>《中华人民共和国刑法》第七十三条第三款：</w:t>
      </w:r>
      <w:r>
        <w:rPr>
          <w:rFonts w:hint="eastAsia" w:ascii="仿宋_GB2312" w:hAnsi="宋体" w:cs="宋体"/>
          <w:kern w:val="0"/>
          <w:szCs w:val="21"/>
        </w:rPr>
        <w:t>缓刑考验期限，从判决确定之日起计算。</w:t>
      </w:r>
    </w:p>
    <w:p>
      <w:pPr>
        <w:spacing w:line="500" w:lineRule="exact"/>
        <w:ind w:firstLine="674" w:firstLineChars="200"/>
      </w:pPr>
      <w:r>
        <w:rPr>
          <w:rFonts w:hint="eastAsia" w:ascii="仿宋_GB2312" w:hAnsi="宋体" w:cs="宋体"/>
          <w:kern w:val="0"/>
          <w:szCs w:val="21"/>
        </w:rPr>
        <w:t>7.</w:t>
      </w:r>
      <w:r>
        <w:rPr>
          <w:rFonts w:hint="eastAsia" w:ascii="仿宋_GB2312" w:cs="宋体"/>
          <w:kern w:val="0"/>
          <w:lang w:val="zh-CN"/>
        </w:rPr>
        <w:t>《中华人民共和国刑法》第七十六条：</w:t>
      </w:r>
      <w:r>
        <w:rPr>
          <w:rFonts w:hint="eastAsia" w:ascii="仿宋_GB2312" w:hAnsi="宋体" w:cs="宋体"/>
          <w:kern w:val="0"/>
          <w:szCs w:val="21"/>
        </w:rPr>
        <w:t>对宣告缓刑的犯罪分子，在缓刑考验期限内，依法实行社区矫正，如果没有本法第七十七条规定的情形，缓刑考验期满，原判的刑罚就不再执行，并公开予以宣告。</w:t>
      </w:r>
    </w:p>
    <w:p>
      <w:pPr>
        <w:spacing w:line="500" w:lineRule="exact"/>
      </w:pPr>
    </w:p>
    <w:sectPr>
      <w:headerReference r:id="rId5" w:type="first"/>
      <w:footerReference r:id="rId8" w:type="first"/>
      <w:headerReference r:id="rId3" w:type="default"/>
      <w:footerReference r:id="rId6" w:type="default"/>
      <w:headerReference r:id="rId4" w:type="even"/>
      <w:footerReference r:id="rId7" w:type="even"/>
      <w:pgSz w:w="11907" w:h="16840"/>
      <w:pgMar w:top="1701" w:right="1418" w:bottom="1701" w:left="1701" w:header="0" w:footer="1361" w:gutter="0"/>
      <w:cols w:space="425" w:num="1"/>
      <w:docGrid w:type="linesAndChars" w:linePitch="537" w:charSpace="36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1</w:t>
    </w:r>
    <w:r>
      <w:rPr>
        <w:rStyle w:val="6"/>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527B"/>
    <w:rsid w:val="000052AE"/>
    <w:rsid w:val="00017C67"/>
    <w:rsid w:val="00026961"/>
    <w:rsid w:val="0003227F"/>
    <w:rsid w:val="000851CE"/>
    <w:rsid w:val="00095D88"/>
    <w:rsid w:val="000977AB"/>
    <w:rsid w:val="000A37CC"/>
    <w:rsid w:val="000B473B"/>
    <w:rsid w:val="000E2B49"/>
    <w:rsid w:val="00103E23"/>
    <w:rsid w:val="00104710"/>
    <w:rsid w:val="001201D5"/>
    <w:rsid w:val="00127041"/>
    <w:rsid w:val="00130960"/>
    <w:rsid w:val="00132013"/>
    <w:rsid w:val="00134973"/>
    <w:rsid w:val="00154285"/>
    <w:rsid w:val="001615D3"/>
    <w:rsid w:val="00165FBD"/>
    <w:rsid w:val="00174FF5"/>
    <w:rsid w:val="00190535"/>
    <w:rsid w:val="00196BA2"/>
    <w:rsid w:val="001A0E3B"/>
    <w:rsid w:val="001A6F1A"/>
    <w:rsid w:val="001B281C"/>
    <w:rsid w:val="001F3A87"/>
    <w:rsid w:val="0020686B"/>
    <w:rsid w:val="00213CA9"/>
    <w:rsid w:val="0022158C"/>
    <w:rsid w:val="00237250"/>
    <w:rsid w:val="002567C6"/>
    <w:rsid w:val="0025787B"/>
    <w:rsid w:val="002824A5"/>
    <w:rsid w:val="002828A2"/>
    <w:rsid w:val="00297971"/>
    <w:rsid w:val="002B62A4"/>
    <w:rsid w:val="002B7DEA"/>
    <w:rsid w:val="002C5468"/>
    <w:rsid w:val="002E4A5C"/>
    <w:rsid w:val="002F3F79"/>
    <w:rsid w:val="003245A0"/>
    <w:rsid w:val="00324AFA"/>
    <w:rsid w:val="003255EF"/>
    <w:rsid w:val="00334560"/>
    <w:rsid w:val="00344D96"/>
    <w:rsid w:val="003514DE"/>
    <w:rsid w:val="003535E2"/>
    <w:rsid w:val="003A206E"/>
    <w:rsid w:val="003A4036"/>
    <w:rsid w:val="003C4A8E"/>
    <w:rsid w:val="003D7CF9"/>
    <w:rsid w:val="003E49AC"/>
    <w:rsid w:val="003F114F"/>
    <w:rsid w:val="00403C03"/>
    <w:rsid w:val="00457D8B"/>
    <w:rsid w:val="00483CFA"/>
    <w:rsid w:val="004D5A22"/>
    <w:rsid w:val="00504FE3"/>
    <w:rsid w:val="005116F2"/>
    <w:rsid w:val="0051406A"/>
    <w:rsid w:val="00532672"/>
    <w:rsid w:val="005427A3"/>
    <w:rsid w:val="00557DDA"/>
    <w:rsid w:val="00583877"/>
    <w:rsid w:val="00592B7E"/>
    <w:rsid w:val="005960A6"/>
    <w:rsid w:val="005B7ACD"/>
    <w:rsid w:val="005C2EBB"/>
    <w:rsid w:val="005C7601"/>
    <w:rsid w:val="005E7137"/>
    <w:rsid w:val="005E7655"/>
    <w:rsid w:val="00614F59"/>
    <w:rsid w:val="006178A6"/>
    <w:rsid w:val="00655E3D"/>
    <w:rsid w:val="006611B5"/>
    <w:rsid w:val="00676A67"/>
    <w:rsid w:val="006C527B"/>
    <w:rsid w:val="006D030D"/>
    <w:rsid w:val="006E6EB8"/>
    <w:rsid w:val="00724719"/>
    <w:rsid w:val="007350E4"/>
    <w:rsid w:val="00750A89"/>
    <w:rsid w:val="00781E48"/>
    <w:rsid w:val="007B7ABB"/>
    <w:rsid w:val="007C41B9"/>
    <w:rsid w:val="007C6EB6"/>
    <w:rsid w:val="00834811"/>
    <w:rsid w:val="008356BC"/>
    <w:rsid w:val="008370D7"/>
    <w:rsid w:val="00865AD4"/>
    <w:rsid w:val="00871500"/>
    <w:rsid w:val="00877975"/>
    <w:rsid w:val="008B4544"/>
    <w:rsid w:val="008C2BE3"/>
    <w:rsid w:val="008F0C83"/>
    <w:rsid w:val="00914B1A"/>
    <w:rsid w:val="00915F46"/>
    <w:rsid w:val="009402FD"/>
    <w:rsid w:val="0094201A"/>
    <w:rsid w:val="00944B26"/>
    <w:rsid w:val="0095174B"/>
    <w:rsid w:val="00956E7F"/>
    <w:rsid w:val="00971932"/>
    <w:rsid w:val="009B2ABD"/>
    <w:rsid w:val="009B5700"/>
    <w:rsid w:val="009C6812"/>
    <w:rsid w:val="00A27287"/>
    <w:rsid w:val="00A61827"/>
    <w:rsid w:val="00A65AC2"/>
    <w:rsid w:val="00A9201F"/>
    <w:rsid w:val="00AB59E1"/>
    <w:rsid w:val="00AC7E6B"/>
    <w:rsid w:val="00AE5B02"/>
    <w:rsid w:val="00AF4268"/>
    <w:rsid w:val="00B2737B"/>
    <w:rsid w:val="00B42F8C"/>
    <w:rsid w:val="00B648AE"/>
    <w:rsid w:val="00B85CC2"/>
    <w:rsid w:val="00BA5719"/>
    <w:rsid w:val="00BC31D9"/>
    <w:rsid w:val="00BD68AC"/>
    <w:rsid w:val="00BE1B0D"/>
    <w:rsid w:val="00C20F45"/>
    <w:rsid w:val="00C359CE"/>
    <w:rsid w:val="00C60BEA"/>
    <w:rsid w:val="00C87275"/>
    <w:rsid w:val="00C92109"/>
    <w:rsid w:val="00CB552A"/>
    <w:rsid w:val="00CC7863"/>
    <w:rsid w:val="00CD06FA"/>
    <w:rsid w:val="00CD3C30"/>
    <w:rsid w:val="00CD3C71"/>
    <w:rsid w:val="00D21DA2"/>
    <w:rsid w:val="00D259F0"/>
    <w:rsid w:val="00D34DFD"/>
    <w:rsid w:val="00D5070A"/>
    <w:rsid w:val="00D70538"/>
    <w:rsid w:val="00D74AF6"/>
    <w:rsid w:val="00D86BFA"/>
    <w:rsid w:val="00D940E1"/>
    <w:rsid w:val="00DB0E49"/>
    <w:rsid w:val="00DB1B17"/>
    <w:rsid w:val="00DC44CC"/>
    <w:rsid w:val="00DD7B6E"/>
    <w:rsid w:val="00E00F11"/>
    <w:rsid w:val="00E14993"/>
    <w:rsid w:val="00E16834"/>
    <w:rsid w:val="00E17C81"/>
    <w:rsid w:val="00E23E52"/>
    <w:rsid w:val="00E442EB"/>
    <w:rsid w:val="00E613A8"/>
    <w:rsid w:val="00E813EC"/>
    <w:rsid w:val="00E83809"/>
    <w:rsid w:val="00E92F26"/>
    <w:rsid w:val="00ED3256"/>
    <w:rsid w:val="00ED74F5"/>
    <w:rsid w:val="00F005CF"/>
    <w:rsid w:val="00F02871"/>
    <w:rsid w:val="00F03765"/>
    <w:rsid w:val="00F221BC"/>
    <w:rsid w:val="00F57DB2"/>
    <w:rsid w:val="00F91E51"/>
    <w:rsid w:val="00FA53EE"/>
    <w:rsid w:val="00FA6A9E"/>
    <w:rsid w:val="00FB328A"/>
    <w:rsid w:val="00FB467C"/>
    <w:rsid w:val="00FD513E"/>
    <w:rsid w:val="00FF7672"/>
    <w:rsid w:val="119F086B"/>
    <w:rsid w:val="16E53895"/>
    <w:rsid w:val="5E8E0C8B"/>
    <w:rsid w:val="70280B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4">
    <w:name w:val="Default Paragraph Font"/>
    <w:link w:val="5"/>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customStyle="1" w:styleId="5">
    <w:name w:val="Char"/>
    <w:basedOn w:val="1"/>
    <w:link w:val="4"/>
    <w:uiPriority w:val="0"/>
    <w:pPr>
      <w:widowControl/>
      <w:spacing w:after="160" w:line="240" w:lineRule="exact"/>
      <w:jc w:val="left"/>
    </w:pPr>
    <w:rPr>
      <w:rFonts w:ascii="Verdana" w:hAnsi="Verdana"/>
      <w:kern w:val="0"/>
      <w:sz w:val="24"/>
      <w:szCs w:val="20"/>
      <w:lang w:eastAsia="en-US"/>
    </w:rPr>
  </w:style>
  <w:style w:type="character" w:styleId="6">
    <w:name w:val="page number"/>
    <w:basedOn w:val="4"/>
    <w:qFormat/>
    <w:uiPriority w:val="0"/>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374</Words>
  <Characters>2135</Characters>
  <Lines>17</Lines>
  <Paragraphs>5</Paragraphs>
  <TotalTime>0</TotalTime>
  <ScaleCrop>false</ScaleCrop>
  <LinksUpToDate>false</LinksUpToDate>
  <CharactersWithSpaces>2504</CharactersWithSpaces>
  <Application>WPS Office_10.1.0.7401_F1E327BC-269C-435d-A152-05C5408002CA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2014-08-08T05:07:00Z</dcterms:created>
  <dc:creator>jy</dc:creator>
  <cp:lastModifiedBy>TF-PC</cp:lastModifiedBy>
  <dcterms:modified xsi:type="dcterms:W3CDTF">2018-08-27T09:40:43Z</dcterms:modified>
  <dc:title>天津市滨海新区人民法院</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