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  <w:sz w:val="32"/>
          <w:lang w:eastAsia="zh-CN"/>
        </w:rPr>
      </w:pPr>
      <w:bookmarkStart w:id="0" w:name="_GoBack"/>
      <w:bookmarkEnd w:id="0"/>
    </w:p>
    <w:p>
      <w:pPr>
        <w:pStyle w:val="7"/>
        <w:rPr>
          <w:rFonts w:hint="eastAsia"/>
          <w:sz w:val="32"/>
          <w:lang w:eastAsia="zh-CN"/>
        </w:rPr>
      </w:pP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天津市宁河区人民法院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刑事判决书</w:t>
      </w:r>
    </w:p>
    <w:p>
      <w:pPr>
        <w:pStyle w:val="9"/>
        <w:pageBreakBefore w:val="0"/>
        <w:rPr>
          <w:rFonts w:hint="eastAsia"/>
          <w:sz w:val="32"/>
          <w:lang w:eastAsia="zh-CN"/>
        </w:rPr>
      </w:pPr>
    </w:p>
    <w:p>
      <w:pPr>
        <w:pStyle w:val="9"/>
        <w:pageBreakBefore w:val="0"/>
        <w:rPr>
          <w:rFonts w:hint="eastAsia"/>
          <w:lang w:eastAsia="zh-CN"/>
        </w:rPr>
      </w:pPr>
      <w:r>
        <w:rPr>
          <w:rFonts w:hint="eastAsia"/>
          <w:lang w:eastAsia="zh-CN"/>
        </w:rPr>
        <w:t>(201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)津0117刑初347号</w:t>
      </w:r>
    </w:p>
    <w:p>
      <w:pPr>
        <w:keepNext w:val="0"/>
        <w:pageBreakBefore w:val="0"/>
        <w:rPr>
          <w:rFonts w:hint="eastAsia"/>
          <w:sz w:val="32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公诉机关天津市宁河区人民检察院。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被告人张克玉，男，1963年4月23日出生，公民身份号码120221196304233039，汉族，初中文化，农民，住天津市宁河区俵口镇后辛庄村南区1排1号。2018年5月18日因涉嫌信用卡诈骗罪被天津市公安局宁河分局取保候审。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天津市宁河区人民检察院以津宁检公诉刑诉[2018]344号起诉书指控被告人张克玉犯信用卡诈骗罪。本院依法适用刑事案件速裁程序，公开开庭审理了本案。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刑事速裁程序审理查明，2017年8月，被告人张克玉在中国农业银行宁河支行申领了一张卡号为6259960229235817的金穗贷记卡后，持此卡恶意透支使用。经查，此卡在2017年12月12日最后一次还款后，经银行多次催收，超过三个月仍未归还。案发前，该信用卡共被恶意透支人民币本金14771.2元。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案发后，被告人张克玉被公安机关传唤到案。被告人张克玉的家属清偿了信用卡的全部欠款。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认定上述事实的证据如下：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l、案件来源、抓获经过等书证。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2、证人刘某某的证言。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3、被害人张某某的陈述。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4、被告人的供述和辩解。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院认为，被告人张克玉进行信用卡诈骗活动，恶意透支，数额较大，其行为已构成信用卡诈骗罪，应予惩处。公诉机关指控被告人犯信用卡诈骗罪事实清楚，证据确实、充分，罪名成立。被告人张克玉犯罪后如实供述自己的罪行，是坦白，其赔偿被害人损失，依法从轻处罚。依照《中华人民共和国刑法》第一百九十六条第一款第（四）项、第六十七条第三款、第七十二条、第七十六条的规定，判决如下：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被告人张克玉犯信用卡诈骗罪，判处有期徒刑六个月，缓刑一年,罚金20000元（缓刑考验期从判决确定之日起计算。对宣告缓刑的犯罪分子，在缓刑考验期限内，依法实行社区矫正）。</w:t>
      </w:r>
    </w:p>
    <w:p>
      <w:pPr>
        <w:pStyle w:val="12"/>
        <w:pageBreakBefore w:val="0"/>
        <w:rPr>
          <w:rFonts w:hint="eastAsia"/>
          <w:lang w:eastAsia="zh-CN"/>
        </w:rPr>
      </w:pPr>
      <w:r>
        <w:rPr>
          <w:rFonts w:hint="eastAsia"/>
          <w:lang w:eastAsia="zh-CN"/>
        </w:rPr>
        <w:t>如不服本判决，可在接到本判决书的第二日起十日内，通过本院或者直接向天津市第二中级人民法院提出上诉。书面上诉的，应提交上诉状正本一份，副本一份。</w:t>
      </w:r>
    </w:p>
    <w:p>
      <w:pPr>
        <w:keepNext w:val="0"/>
        <w:pageBreakBefore w:val="0"/>
        <w:rPr>
          <w:rFonts w:hint="eastAsia"/>
          <w:sz w:val="32"/>
          <w:lang w:eastAsia="zh-CN"/>
        </w:rPr>
      </w:pPr>
    </w:p>
    <w:p>
      <w:pPr>
        <w:keepNext w:val="0"/>
        <w:pageBreakBefore w:val="0"/>
        <w:rPr>
          <w:rFonts w:hint="eastAsia"/>
          <w:sz w:val="32"/>
          <w:lang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审　　判　　员　　　:靳加伏</w:t>
      </w:r>
    </w:p>
    <w:p>
      <w:pPr>
        <w:pStyle w:val="14"/>
        <w:pageBreakBefore w:val="0"/>
        <w:rPr>
          <w:rFonts w:hint="eastAsia"/>
          <w:sz w:val="32"/>
          <w:lang w:eastAsia="zh-CN"/>
        </w:rPr>
      </w:pPr>
    </w:p>
    <w:p>
      <w:pPr>
        <w:pStyle w:val="14"/>
        <w:pageBreakBefore w:val="0"/>
        <w:rPr>
          <w:rFonts w:hint="eastAsia"/>
          <w:sz w:val="32"/>
          <w:lang w:eastAsia="zh-CN"/>
        </w:rPr>
      </w:pPr>
    </w:p>
    <w:p>
      <w:pPr>
        <w:pStyle w:val="14"/>
        <w:pageBreakBefore w:val="0"/>
        <w:rPr>
          <w:rFonts w:hint="eastAsia"/>
          <w:sz w:val="32"/>
          <w:lang w:eastAsia="zh-CN"/>
        </w:rPr>
      </w:pPr>
    </w:p>
    <w:p>
      <w:pPr>
        <w:pStyle w:val="14"/>
        <w:pageBreakBefore w:val="0"/>
        <w:rPr>
          <w:rFonts w:hint="eastAsia"/>
          <w:sz w:val="32"/>
          <w:lang w:eastAsia="zh-CN"/>
        </w:rPr>
      </w:pPr>
    </w:p>
    <w:p>
      <w:pPr>
        <w:pStyle w:val="14"/>
        <w:pageBreakBefore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二〇一八年七月十一日</w:t>
      </w:r>
    </w:p>
    <w:p>
      <w:pPr>
        <w:keepNext w:val="0"/>
        <w:pageBreakBefore w:val="0"/>
        <w:rPr>
          <w:rFonts w:hint="eastAsia"/>
          <w:sz w:val="32"/>
          <w:lang w:eastAsia="zh-CN"/>
        </w:rPr>
      </w:pPr>
    </w:p>
    <w:p>
      <w:pPr>
        <w:pStyle w:val="15"/>
        <w:rPr>
          <w:rFonts w:hint="eastAsia"/>
          <w:lang w:eastAsia="zh-CN"/>
        </w:rPr>
      </w:pPr>
      <w:r>
        <w:rPr>
          <w:rFonts w:hint="eastAsia"/>
          <w:lang w:eastAsia="zh-CN"/>
        </w:rPr>
        <w:t>书　　记　　员　　　: 孟 玥</w:t>
      </w:r>
    </w:p>
    <w:p>
      <w:pPr>
        <w:rPr>
          <w:rFonts w:hint="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40" w:right="1530" w:bottom="2040" w:left="1530" w:header="794" w:footer="1644" w:gutter="0"/>
      <w:pgNumType w:fmt="numberInDash" w:start="1"/>
      <w:cols w:space="720" w:num="1"/>
      <w:rtlGutter w:val="0"/>
      <w:docGrid w:type="linesAndChars" w:linePitch="579" w:charSpace="-8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ind w:leftChars="0" w:rightChars="0"/>
      <w:jc w:val="left"/>
      <w:rPr>
        <w:rFonts w:hint="eastAsia" w:ascii="宋体" w:hAnsi="宋体" w:eastAsia="宋体" w:cs="宋体"/>
        <w:b w:val="0"/>
        <w:sz w:val="28"/>
        <w:lang w:eastAsia="zh-CN"/>
      </w:rPr>
    </w:pPr>
    <w:r>
      <w:rPr>
        <w:rStyle w:val="5"/>
        <w:rFonts w:hint="eastAsia" w:ascii="宋体" w:hAnsi="宋体" w:eastAsia="宋体" w:cs="宋体"/>
        <w:b w:val="0"/>
        <w:sz w:val="28"/>
        <w:lang w:eastAsia="zh-CN"/>
      </w:rPr>
      <w:fldChar w:fldCharType="begin"/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instrText xml:space="preserve"> PAGE  </w:instrText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fldChar w:fldCharType="separate"/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t>2</w:t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/>
      <w:ind w:leftChars="0" w:right="360" w:rightChars="0" w:firstLine="360" w:firstLineChars="0"/>
      <w:jc w:val="left"/>
      <w:rPr>
        <w:rFonts w:hint="eastAsia" w:ascii="宋体" w:hAnsi="宋体" w:eastAsia="宋体" w:cs="宋体"/>
        <w:b w:val="0"/>
        <w:sz w:val="28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ind w:leftChars="0" w:rightChars="0"/>
      <w:jc w:val="left"/>
      <w:rPr>
        <w:rFonts w:hint="eastAsia" w:ascii="宋体" w:hAnsi="宋体" w:eastAsia="宋体" w:cs="宋体"/>
        <w:b w:val="0"/>
        <w:sz w:val="28"/>
        <w:lang w:eastAsia="zh-CN"/>
      </w:rPr>
    </w:pPr>
    <w:r>
      <w:rPr>
        <w:rStyle w:val="5"/>
        <w:rFonts w:hint="eastAsia" w:ascii="宋体" w:hAnsi="宋体" w:eastAsia="宋体" w:cs="宋体"/>
        <w:b w:val="0"/>
        <w:sz w:val="28"/>
        <w:lang w:eastAsia="zh-CN"/>
      </w:rPr>
      <w:fldChar w:fldCharType="begin"/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instrText xml:space="preserve"> PAGE  </w:instrText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fldChar w:fldCharType="separate"/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t>2</w:t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/>
      <w:ind w:leftChars="0" w:right="360" w:rightChars="0" w:firstLine="360" w:firstLineChars="0"/>
      <w:jc w:val="left"/>
      <w:rPr>
        <w:rFonts w:hint="eastAsia" w:ascii="宋体" w:hAnsi="宋体" w:eastAsia="宋体" w:cs="宋体"/>
        <w:b w:val="0"/>
        <w:sz w:val="28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C6C0D"/>
    <w:rsid w:val="0ECD12EF"/>
    <w:rsid w:val="0F3C6C0D"/>
    <w:rsid w:val="29A8792D"/>
    <w:rsid w:val="2B3337A3"/>
    <w:rsid w:val="41140B6B"/>
    <w:rsid w:val="515E27EA"/>
    <w:rsid w:val="67F70BDC"/>
    <w:rsid w:val="696A2EF9"/>
    <w:rsid w:val="737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MS Sans Serif" w:eastAsia="仿宋_GB2312" w:cstheme="minorBidi"/>
      <w:sz w:val="32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lawyeeCourtName1"/>
    <w:basedOn w:val="1"/>
    <w:qFormat/>
    <w:uiPriority w:val="0"/>
    <w:pPr>
      <w:spacing w:line="720" w:lineRule="exact"/>
      <w:jc w:val="center"/>
    </w:pPr>
    <w:rPr>
      <w:rFonts w:hint="eastAsia" w:ascii="方正小标宋_GBK" w:hAnsi="方正小标宋_GBK" w:eastAsia="方正小标宋_GBK" w:cs="方正小标宋_GBK"/>
      <w:kern w:val="2"/>
      <w:sz w:val="44"/>
    </w:rPr>
  </w:style>
  <w:style w:type="paragraph" w:customStyle="1" w:styleId="8">
    <w:name w:val="lawyeeWritName1"/>
    <w:basedOn w:val="1"/>
    <w:qFormat/>
    <w:uiPriority w:val="0"/>
    <w:pPr>
      <w:spacing w:line="720" w:lineRule="exact"/>
      <w:jc w:val="center"/>
    </w:pPr>
    <w:rPr>
      <w:rFonts w:hint="eastAsia" w:ascii="方正小标宋_GBK" w:hAnsi="方正小标宋_GBK" w:eastAsia="方正小标宋_GBK" w:cs="方正小标宋_GBK"/>
      <w:kern w:val="2"/>
      <w:sz w:val="44"/>
    </w:rPr>
  </w:style>
  <w:style w:type="paragraph" w:customStyle="1" w:styleId="9">
    <w:name w:val="lawyeeCaseNum1"/>
    <w:basedOn w:val="1"/>
    <w:qFormat/>
    <w:uiPriority w:val="0"/>
    <w:pPr>
      <w:ind w:right="632" w:rightChars="200"/>
      <w:jc w:val="right"/>
    </w:pPr>
    <w:rPr>
      <w:rFonts w:hint="eastAsia" w:hAnsi="仿宋_GB2312" w:cs="仿宋_GB2312"/>
      <w:kern w:val="2"/>
    </w:rPr>
  </w:style>
  <w:style w:type="paragraph" w:customStyle="1" w:styleId="10">
    <w:name w:val="lawyeeWritContent1"/>
    <w:basedOn w:val="1"/>
    <w:qFormat/>
    <w:uiPriority w:val="0"/>
    <w:pPr>
      <w:ind w:firstLine="632" w:firstLineChars="200"/>
    </w:pPr>
    <w:rPr>
      <w:rFonts w:hint="eastAsia" w:hAnsi="仿宋_GB2312" w:cs="仿宋_GB2312"/>
      <w:kern w:val="2"/>
    </w:rPr>
  </w:style>
  <w:style w:type="paragraph" w:customStyle="1" w:styleId="11">
    <w:name w:val="lawyeeWritContent0"/>
    <w:basedOn w:val="1"/>
    <w:qFormat/>
    <w:uiPriority w:val="0"/>
    <w:pPr>
      <w:ind w:firstLine="632" w:firstLineChars="200"/>
    </w:pPr>
    <w:rPr>
      <w:rFonts w:hint="eastAsia" w:hAnsi="仿宋_GB2312" w:cs="仿宋_GB2312"/>
      <w:kern w:val="2"/>
    </w:rPr>
  </w:style>
  <w:style w:type="paragraph" w:customStyle="1" w:styleId="12">
    <w:name w:val="lawyeeWritContent2"/>
    <w:basedOn w:val="1"/>
    <w:qFormat/>
    <w:uiPriority w:val="0"/>
    <w:pPr>
      <w:ind w:firstLine="632" w:firstLineChars="200"/>
    </w:pPr>
    <w:rPr>
      <w:rFonts w:hint="eastAsia" w:hAnsi="仿宋_GB2312" w:cs="仿宋_GB2312"/>
      <w:kern w:val="2"/>
    </w:rPr>
  </w:style>
  <w:style w:type="paragraph" w:customStyle="1" w:styleId="13">
    <w:name w:val="lawyeeJudge1"/>
    <w:basedOn w:val="1"/>
    <w:qFormat/>
    <w:uiPriority w:val="0"/>
    <w:pPr>
      <w:spacing w:line="520" w:lineRule="exact"/>
      <w:ind w:right="632" w:rightChars="200"/>
      <w:jc w:val="right"/>
    </w:pPr>
    <w:rPr>
      <w:rFonts w:hint="eastAsia" w:hAnsi="仿宋_GB2312" w:cs="仿宋_GB2312"/>
      <w:kern w:val="2"/>
    </w:rPr>
  </w:style>
  <w:style w:type="paragraph" w:customStyle="1" w:styleId="14">
    <w:name w:val="lawyeeDate1"/>
    <w:basedOn w:val="1"/>
    <w:qFormat/>
    <w:uiPriority w:val="0"/>
    <w:pPr>
      <w:ind w:right="632" w:rightChars="200"/>
      <w:jc w:val="right"/>
    </w:pPr>
    <w:rPr>
      <w:rFonts w:hint="eastAsia" w:hAnsi="仿宋_GB2312" w:cs="仿宋_GB2312"/>
      <w:kern w:val="2"/>
    </w:rPr>
  </w:style>
  <w:style w:type="paragraph" w:customStyle="1" w:styleId="15">
    <w:name w:val="lawyeeJudge2"/>
    <w:basedOn w:val="1"/>
    <w:qFormat/>
    <w:uiPriority w:val="0"/>
    <w:pPr>
      <w:spacing w:line="520" w:lineRule="exact"/>
      <w:ind w:right="632" w:rightChars="200"/>
      <w:jc w:val="right"/>
    </w:pPr>
    <w:rPr>
      <w:rFonts w:hint="eastAsia" w:hAnsi="仿宋_GB2312" w:cs="仿宋_GB2312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宁河区人民法院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2018-07-09T06:28:00Z</dcterms:created>
  <dc:creator>靳加伏</dc:creator>
  <cp:lastModifiedBy>TF-PC</cp:lastModifiedBy>
  <dcterms:modified xsi:type="dcterms:W3CDTF">2018-08-27T09:39:16Z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