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sz w:val="44"/>
          <w:szCs w:val="44"/>
        </w:rPr>
      </w:pPr>
      <w:bookmarkStart w:id="2" w:name="_GoBack"/>
      <w:bookmarkEnd w:id="2"/>
      <w:r>
        <w:rPr>
          <w:rFonts w:hint="eastAsia" w:ascii="宋体" w:hAnsi="宋体" w:eastAsia="宋体"/>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spacing w:val="50"/>
          <w:sz w:val="52"/>
        </w:rPr>
        <w:t>刑 事 判 决 书</w:t>
      </w:r>
    </w:p>
    <w:p>
      <w:pPr>
        <w:spacing w:line="300" w:lineRule="exact"/>
        <w:ind w:right="-33" w:rightChars="-10"/>
        <w:jc w:val="center"/>
        <w:rPr>
          <w:rFonts w:hint="eastAsia" w:ascii="仿宋_GB2312" w:hAnsi="华文中宋"/>
          <w:b/>
          <w:bCs/>
          <w:sz w:val="18"/>
        </w:rPr>
      </w:pPr>
    </w:p>
    <w:p>
      <w:pPr>
        <w:spacing w:line="300" w:lineRule="exact"/>
        <w:ind w:left="4200" w:right="-30" w:rightChars="-9"/>
        <w:rPr>
          <w:rFonts w:hint="eastAsia" w:ascii="仿宋_GB2312"/>
        </w:rPr>
      </w:pPr>
      <w:r>
        <w:rPr>
          <w:rFonts w:hint="eastAsia" w:ascii="仿宋_GB2312"/>
        </w:rPr>
        <w:t>（2013）滨功刑初字第198号</w:t>
      </w:r>
    </w:p>
    <w:p>
      <w:pPr>
        <w:spacing w:line="300" w:lineRule="exact"/>
        <w:ind w:right="-33" w:rightChars="-10"/>
        <w:jc w:val="center"/>
        <w:rPr>
          <w:rFonts w:hint="eastAsia" w:ascii="仿宋_GB2312"/>
          <w:b/>
          <w:bCs/>
          <w:sz w:val="18"/>
        </w:rPr>
      </w:pPr>
    </w:p>
    <w:p>
      <w:pPr>
        <w:ind w:firstLine="674" w:firstLineChars="200"/>
        <w:rPr>
          <w:rFonts w:hint="eastAsia" w:ascii="仿宋_GB2312"/>
        </w:rPr>
      </w:pPr>
      <w:r>
        <w:rPr>
          <w:rFonts w:hint="eastAsia" w:ascii="仿宋_GB2312"/>
        </w:rPr>
        <w:t>公诉机关天津市滨海新区人民检察院。</w:t>
      </w:r>
    </w:p>
    <w:p>
      <w:pPr>
        <w:ind w:firstLine="674" w:firstLineChars="200"/>
        <w:rPr>
          <w:rFonts w:hint="eastAsia" w:ascii="仿宋_GB2312"/>
        </w:rPr>
      </w:pPr>
      <w:r>
        <w:rPr>
          <w:rFonts w:hint="eastAsia" w:ascii="仿宋_GB2312"/>
        </w:rPr>
        <w:t>被告人李振玉，男，1990年4月10日出生于山东省庆云县，公民身份号码371423199004101039，汉族，初中一年级文化，天津市西青区鲁北汽车修理厂维修工，户籍地为山东省德州市庆云县东辛店乡东史家阁村028号，暂住天津市西青区李七庄乡梨园头村梨园头桥鲁北汽车修理厂。2013年4月16日因涉嫌信用卡诈骗罪被天津市滨海新区公安局高新分局刑事拘留，2013年4月19日被天津市滨海新区公安局高新分局取保候审，2013年10月31日被本院继续取保候审。现在其住所候审。</w:t>
      </w:r>
    </w:p>
    <w:p>
      <w:pPr>
        <w:ind w:firstLine="674" w:firstLineChars="200"/>
        <w:rPr>
          <w:rFonts w:hint="eastAsia" w:ascii="仿宋_GB2312"/>
        </w:rPr>
      </w:pPr>
      <w:r>
        <w:rPr>
          <w:rFonts w:hint="eastAsia" w:ascii="仿宋_GB2312"/>
        </w:rPr>
        <w:t>天津市滨海新区人民检察院以津滨检刑诉〔2013〕198号起诉书指控被告人李振玉犯信用卡诈骗罪，于2013年10月30日向本院提起公诉，本院于2013年10月30日立案后，依法适用简易程序，实行独任审判，公开开庭审理了本案。天津市滨海新区人民检察院指派代理检察员王磊出庭支持公诉，被告人李振玉到庭参加诉讼。现已审理终结。</w:t>
      </w:r>
    </w:p>
    <w:p>
      <w:pPr>
        <w:ind w:firstLine="674" w:firstLineChars="200"/>
        <w:rPr>
          <w:rFonts w:hint="eastAsia" w:ascii="仿宋_GB2312"/>
        </w:rPr>
      </w:pPr>
      <w:r>
        <w:rPr>
          <w:rFonts w:hint="eastAsia" w:ascii="仿宋_GB2312"/>
        </w:rPr>
        <w:t>天津市滨海新区人民检察院指控, 2013年3月21日20时许，被害人张志强使用天津市滨海高新区海泰大厦天津银行自动取款机取款后，将卡号为622331108920258961的天津银行卡遗忘在自动取款机内。当日20时30分许，被告人李振玉欲在该自动取款机取款时，发现自动取款机显示为可进行取现、转账等业务操作的界面，意识到有人取款后忘记取出银行卡，遂生非法占有之念，将张志强银行卡内人民币9000元转入自己名下的天津银行卡后，携带张志强的银行卡逃离现场。2013年4月1日，张志强发现卡内存款丢失，遂报案至公安机关。公安机关经侦查于2013年4月16日将李振玉抓获归案。案发后，李振玉退缴的赃款人民币9000元已发还被害人。</w:t>
      </w:r>
    </w:p>
    <w:p>
      <w:pPr>
        <w:ind w:firstLine="674" w:firstLineChars="200"/>
        <w:rPr>
          <w:rFonts w:hint="eastAsia" w:ascii="仿宋_GB2312"/>
        </w:rPr>
      </w:pPr>
      <w:r>
        <w:rPr>
          <w:rFonts w:ascii="仿宋_GB2312"/>
        </w:rPr>
        <w:t>上述事实，被告人</w:t>
      </w:r>
      <w:r>
        <w:rPr>
          <w:rFonts w:hint="eastAsia" w:ascii="仿宋_GB2312"/>
        </w:rPr>
        <w:t>李振玉</w:t>
      </w:r>
      <w:r>
        <w:rPr>
          <w:rFonts w:ascii="仿宋_GB2312"/>
        </w:rPr>
        <w:t>在开庭审理过程中亦无异议，</w:t>
      </w:r>
      <w:r>
        <w:rPr>
          <w:rFonts w:hint="eastAsia" w:ascii="仿宋_GB2312"/>
        </w:rPr>
        <w:t>并</w:t>
      </w:r>
      <w:r>
        <w:rPr>
          <w:rFonts w:ascii="仿宋_GB2312"/>
        </w:rPr>
        <w:t>有</w:t>
      </w:r>
      <w:r>
        <w:rPr>
          <w:rFonts w:hint="eastAsia" w:ascii="仿宋_GB2312"/>
        </w:rPr>
        <w:t>被害人张志强的陈述；证人王栋、王宝峰的证言；侦查机关出具的案件来源、接警单、抓获经过、搜查笔录、扣押决定书、扣押物品清单、发还清单、办案情况说明材料及调取的户名为李振玉的天津银行卡帐户信息查询、转账交易明细报表、李振玉户籍及无违法犯罪记录证明材料</w:t>
      </w:r>
      <w:r>
        <w:rPr>
          <w:rFonts w:ascii="仿宋_GB2312"/>
        </w:rPr>
        <w:t>等</w:t>
      </w:r>
      <w:r>
        <w:rPr>
          <w:rFonts w:hint="eastAsia" w:ascii="仿宋_GB2312"/>
        </w:rPr>
        <w:t>书证；侦查机关扣押、制作的涉案银行卡等物证照片；侦查机关制作的现场勘查笔录、现场勘查图、现场照片等勘验、检查笔录以及侦查机关调取的自动取款机监控录像等</w:t>
      </w:r>
      <w:r>
        <w:rPr>
          <w:rFonts w:ascii="仿宋_GB2312"/>
        </w:rPr>
        <w:t>证据证实，足以认定。</w:t>
      </w:r>
    </w:p>
    <w:p>
      <w:pPr>
        <w:ind w:firstLine="674" w:firstLineChars="200"/>
        <w:rPr>
          <w:rFonts w:hint="eastAsia" w:ascii="仿宋_GB2312"/>
        </w:rPr>
      </w:pPr>
      <w:r>
        <w:rPr>
          <w:rFonts w:hint="eastAsia" w:ascii="仿宋_GB2312"/>
        </w:rPr>
        <w:t>本院认为，被告人李振玉以非法占有为目的，冒用他人信用卡，数额较大，其行为已构成信用卡诈骗罪，应当依法予以惩处。公诉机关指控被告人李振玉犯信用卡诈骗罪的事实清楚，证据确实充分，指控罪名成立，应予支持。</w:t>
      </w:r>
    </w:p>
    <w:p>
      <w:pPr>
        <w:ind w:firstLine="674" w:firstLineChars="200"/>
        <w:rPr>
          <w:rFonts w:hint="eastAsia" w:ascii="仿宋_GB2312"/>
        </w:rPr>
      </w:pPr>
      <w:r>
        <w:rPr>
          <w:rFonts w:hint="eastAsia" w:ascii="仿宋_GB2312"/>
        </w:rPr>
        <w:t>被告人李振玉到案后如实供认所犯罪行，当庭自愿认罪，具备坦白情节，依法可以从轻处罚；其主动退赃，可酌情从轻处罚。考虑到被告人李振玉的犯罪情节较轻，又系初犯，有悔罪表现，没有再犯罪的危险性，宣告缓刑对其所居住社区没有重大不良影响，决定依法宣告缓刑。公诉机关提出的量刑建议适当，予以采纳。</w:t>
      </w:r>
    </w:p>
    <w:p>
      <w:pPr>
        <w:ind w:firstLine="674" w:firstLineChars="200"/>
        <w:rPr>
          <w:rFonts w:hint="eastAsia" w:ascii="仿宋_GB2312"/>
        </w:rPr>
      </w:pPr>
      <w:r>
        <w:rPr>
          <w:rFonts w:hint="eastAsia" w:ascii="仿宋_GB2312"/>
        </w:rPr>
        <w:t>综上，结合被告人李振玉的犯罪事实、性质、情节和对社会的危害程度，依照《中华人民共和国刑法》第一百九十六条第一款第三项、第六十七条第三款、第七十二条第一款、第三款、第七十六条以及《</w:t>
      </w:r>
      <w:r>
        <w:rPr>
          <w:rFonts w:ascii="仿宋_GB2312"/>
        </w:rPr>
        <w:t>最高人民法院、最高人民检察院关于办理妨害信用卡管理刑事案件具体应用法律若干问题的解释</w:t>
      </w:r>
      <w:r>
        <w:rPr>
          <w:rFonts w:hint="eastAsia" w:ascii="仿宋_GB2312"/>
        </w:rPr>
        <w:t>》</w:t>
      </w:r>
      <w:r>
        <w:rPr>
          <w:rFonts w:ascii="仿宋_GB2312"/>
        </w:rPr>
        <w:t>第五条</w:t>
      </w:r>
      <w:r>
        <w:rPr>
          <w:rFonts w:hint="eastAsia" w:ascii="仿宋_GB2312"/>
        </w:rPr>
        <w:t>之规定，判决如下：</w:t>
      </w:r>
    </w:p>
    <w:p>
      <w:pPr>
        <w:ind w:firstLine="674" w:firstLineChars="200"/>
        <w:rPr>
          <w:rFonts w:hint="eastAsia" w:ascii="仿宋_GB2312"/>
        </w:rPr>
      </w:pPr>
      <w:r>
        <w:rPr>
          <w:rFonts w:hint="eastAsia" w:ascii="仿宋_GB2312"/>
        </w:rPr>
        <w:t>被告人李振玉犯信用卡诈骗罪，判处有期徒刑六个月，缓刑一年，并处罚金人民币二万元。在缓刑考验期内，依法实行社区矫正。</w:t>
      </w:r>
    </w:p>
    <w:p>
      <w:pPr>
        <w:ind w:firstLine="674" w:firstLineChars="200"/>
        <w:rPr>
          <w:rFonts w:hint="eastAsia" w:ascii="仿宋_GB2312"/>
        </w:rPr>
      </w:pPr>
      <w:r>
        <w:rPr>
          <w:rFonts w:hint="eastAsia" w:ascii="仿宋_GB2312"/>
        </w:rPr>
        <w:t>（</w:t>
      </w:r>
      <w:r>
        <w:rPr>
          <w:rFonts w:ascii="仿宋_GB2312"/>
        </w:rPr>
        <w:t>被告人</w:t>
      </w:r>
      <w:r>
        <w:rPr>
          <w:rFonts w:hint="eastAsia" w:ascii="仿宋_GB2312"/>
        </w:rPr>
        <w:t>李振玉</w:t>
      </w:r>
      <w:r>
        <w:rPr>
          <w:rFonts w:ascii="仿宋_GB2312"/>
        </w:rPr>
        <w:t>的</w:t>
      </w:r>
      <w:r>
        <w:rPr>
          <w:rFonts w:hint="eastAsia" w:ascii="仿宋_GB2312"/>
        </w:rPr>
        <w:t>缓刑考验期自本判决书确定之日起计算，罚金从判决发生法律效力第二日起十日内向本院缴纳）。</w:t>
      </w:r>
    </w:p>
    <w:p>
      <w:pPr>
        <w:ind w:firstLine="674" w:firstLineChars="200"/>
        <w:rPr>
          <w:rFonts w:hint="eastAsia" w:ascii="仿宋_GB2312"/>
        </w:rPr>
      </w:pPr>
      <w:r>
        <w:rPr>
          <w:rFonts w:hint="eastAsia" w:ascii="仿宋_GB2312"/>
        </w:rPr>
        <w:t>如不服本判决，可在接到判决书的第二日起十日内，通过本院或者直接向天津市第二中级人民法院提出上诉，书面上诉的，应提交上诉状正本一份，副本两份。</w:t>
      </w:r>
    </w:p>
    <w:p>
      <w:pPr>
        <w:tabs>
          <w:tab w:val="left" w:pos="8178"/>
        </w:tabs>
        <w:wordWrap w:val="0"/>
        <w:autoSpaceDE w:val="0"/>
        <w:autoSpaceDN w:val="0"/>
        <w:adjustRightInd w:val="0"/>
        <w:spacing w:line="560" w:lineRule="exact"/>
        <w:ind w:right="235"/>
        <w:jc w:val="right"/>
        <w:rPr>
          <w:rFonts w:hint="eastAsia"/>
        </w:rPr>
      </w:pPr>
    </w:p>
    <w:p>
      <w:pPr>
        <w:tabs>
          <w:tab w:val="left" w:pos="8178"/>
        </w:tabs>
        <w:autoSpaceDE w:val="0"/>
        <w:autoSpaceDN w:val="0"/>
        <w:adjustRightInd w:val="0"/>
        <w:spacing w:line="560" w:lineRule="exact"/>
        <w:ind w:right="235"/>
        <w:jc w:val="right"/>
        <w:rPr>
          <w:rFonts w:hint="eastAsia"/>
        </w:rPr>
      </w:pPr>
      <w:r>
        <w:rPr>
          <w:rFonts w:hint="eastAsia"/>
        </w:rPr>
        <w:t>审  判  员</w:t>
      </w:r>
      <w:r>
        <w:t xml:space="preserve">   </w:t>
      </w:r>
      <w:r>
        <w:rPr>
          <w:rFonts w:hint="eastAsia"/>
        </w:rPr>
        <w:t>李正文</w:t>
      </w:r>
    </w:p>
    <w:p>
      <w:pPr>
        <w:tabs>
          <w:tab w:val="left" w:pos="8178"/>
        </w:tabs>
        <w:wordWrap w:val="0"/>
        <w:autoSpaceDE w:val="0"/>
        <w:autoSpaceDN w:val="0"/>
        <w:adjustRightInd w:val="0"/>
        <w:spacing w:line="560" w:lineRule="exact"/>
        <w:ind w:right="235"/>
        <w:jc w:val="right"/>
        <w:rPr>
          <w:rFonts w:hint="eastAsia"/>
        </w:rPr>
      </w:pPr>
    </w:p>
    <w:p>
      <w:pPr>
        <w:tabs>
          <w:tab w:val="left" w:pos="8178"/>
        </w:tabs>
        <w:autoSpaceDE w:val="0"/>
        <w:autoSpaceDN w:val="0"/>
        <w:adjustRightInd w:val="0"/>
        <w:spacing w:line="560" w:lineRule="exact"/>
        <w:ind w:right="235"/>
        <w:jc w:val="right"/>
        <w:rPr>
          <w:rFonts w:hint="eastAsia"/>
        </w:rPr>
      </w:pPr>
      <w:r>
        <w:rPr>
          <w:rFonts w:hint="eastAsia"/>
        </w:rPr>
        <w:t>二</w:t>
      </w:r>
      <w:r>
        <w:rPr>
          <w:rFonts w:hint="eastAsia" w:ascii="仿宋_GB2312" w:hAnsi="宋体" w:eastAsia="宋体" w:cs="宋体"/>
        </w:rPr>
        <w:t>〇</w:t>
      </w:r>
      <w:r>
        <w:rPr>
          <w:rFonts w:hint="eastAsia" w:ascii="仿宋_GB2312"/>
        </w:rPr>
        <w:t>一三</w:t>
      </w:r>
      <w:r>
        <w:rPr>
          <w:rFonts w:hint="eastAsia"/>
        </w:rPr>
        <w:t>年十一月十二日</w:t>
      </w:r>
    </w:p>
    <w:p>
      <w:pPr>
        <w:tabs>
          <w:tab w:val="left" w:pos="8178"/>
        </w:tabs>
        <w:autoSpaceDE w:val="0"/>
        <w:autoSpaceDN w:val="0"/>
        <w:adjustRightInd w:val="0"/>
        <w:spacing w:line="560" w:lineRule="exact"/>
        <w:ind w:right="10168"/>
        <w:jc w:val="right"/>
        <w:rPr>
          <w:rFonts w:hint="eastAsia"/>
        </w:rPr>
      </w:pPr>
    </w:p>
    <w:p>
      <w:pPr>
        <w:tabs>
          <w:tab w:val="left" w:pos="8178"/>
        </w:tabs>
        <w:autoSpaceDE w:val="0"/>
        <w:autoSpaceDN w:val="0"/>
        <w:adjustRightInd w:val="0"/>
        <w:spacing w:line="560" w:lineRule="exact"/>
        <w:ind w:right="235"/>
        <w:jc w:val="right"/>
        <w:rPr>
          <w:rFonts w:hint="eastAsia"/>
        </w:rPr>
      </w:pPr>
      <w:r>
        <w:t xml:space="preserve">书  记  员   </w:t>
      </w:r>
      <w:r>
        <w:rPr>
          <w:rFonts w:hint="eastAsia"/>
        </w:rPr>
        <w:t>陈</w:t>
      </w:r>
      <w:r>
        <w:t xml:space="preserve">  </w:t>
      </w:r>
      <w:r>
        <w:rPr>
          <w:rFonts w:hint="eastAsia"/>
        </w:rPr>
        <w:t>婷</w:t>
      </w:r>
    </w:p>
    <w:p>
      <w:pPr>
        <w:autoSpaceDE w:val="0"/>
        <w:autoSpaceDN w:val="0"/>
        <w:adjustRightInd w:val="0"/>
        <w:spacing w:line="420" w:lineRule="exact"/>
        <w:rPr>
          <w:rFonts w:hint="eastAsia"/>
          <w:b/>
        </w:rPr>
      </w:pPr>
      <w:r>
        <w:rPr>
          <w:rFonts w:hint="eastAsia"/>
          <w:b/>
        </w:rPr>
        <w:t>附：法律释明：</w:t>
      </w:r>
    </w:p>
    <w:p>
      <w:pPr>
        <w:ind w:firstLine="674" w:firstLineChars="200"/>
        <w:rPr>
          <w:rFonts w:hint="eastAsia" w:ascii="仿宋_GB2312"/>
        </w:rPr>
      </w:pPr>
      <w:r>
        <w:rPr>
          <w:rFonts w:hint="eastAsia" w:ascii="仿宋_GB2312"/>
        </w:rPr>
        <w:t>1.《中华人民共和国刑法》第一百九十六条第一款：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一）使用伪造的信用卡的；（二）使用作废的信用卡的；（三）冒用他人信用卡的；（四）恶意透支的。</w:t>
      </w:r>
    </w:p>
    <w:p>
      <w:pPr>
        <w:ind w:firstLine="674" w:firstLineChars="200"/>
        <w:rPr>
          <w:rFonts w:hint="eastAsia" w:ascii="仿宋_GB2312"/>
        </w:rPr>
      </w:pPr>
      <w:r>
        <w:rPr>
          <w:rFonts w:hint="eastAsia" w:ascii="仿宋_GB2312"/>
        </w:rPr>
        <w:t>2.</w:t>
      </w:r>
      <w:bookmarkStart w:id="0" w:name="67"/>
      <w:r>
        <w:rPr>
          <w:rFonts w:hint="eastAsia" w:ascii="仿宋_GB2312"/>
        </w:rPr>
        <w:t>《中华人民共和国刑法》第六十七条第三款：犯罪嫌疑人虽不具有前两款规定的自首情节，但是如实供述自己的罪行的，可以从轻处罚；因其如实供述自己罪行，避免特别严重后果发生的，可以减轻处罚。</w:t>
      </w:r>
      <w:bookmarkEnd w:id="0"/>
    </w:p>
    <w:p>
      <w:pPr>
        <w:spacing w:line="480" w:lineRule="exact"/>
        <w:ind w:firstLine="674" w:firstLineChars="200"/>
        <w:rPr>
          <w:rFonts w:hint="eastAsia" w:ascii="仿宋_GB2312"/>
        </w:rPr>
      </w:pPr>
      <w:r>
        <w:rPr>
          <w:rFonts w:hint="eastAsia" w:ascii="仿宋_GB2312"/>
        </w:rPr>
        <w:t>3.《中华人民共和国刑法》第七十二条第一款，第三款：对于被判处拘役、三年以下有期徒刑的犯罪分子，同时符合下列条件的，可以宣告缓刑，对其中不满十八周岁的人、怀孕的妇女和已满七十五周岁的人，应当宣告缓刑：（一）犯罪情节较轻；（二）有悔罪表现；（三）没有再犯罪的危险；（四）宣告缓刑对所居住社区没有重大不良影响。</w:t>
      </w:r>
    </w:p>
    <w:p>
      <w:pPr>
        <w:spacing w:line="480" w:lineRule="exact"/>
        <w:ind w:firstLine="674" w:firstLineChars="200"/>
        <w:rPr>
          <w:rFonts w:hint="eastAsia" w:ascii="仿宋_GB2312"/>
        </w:rPr>
      </w:pPr>
      <w:r>
        <w:rPr>
          <w:rFonts w:hint="eastAsia" w:ascii="仿宋_GB2312"/>
        </w:rPr>
        <w:t>被宣告缓刑的犯罪分子，如果被判处附加刑，附加刑仍须执行。</w:t>
      </w:r>
    </w:p>
    <w:p>
      <w:pPr>
        <w:autoSpaceDE w:val="0"/>
        <w:autoSpaceDN w:val="0"/>
        <w:adjustRightInd w:val="0"/>
        <w:spacing w:line="560" w:lineRule="exact"/>
        <w:ind w:firstLine="600"/>
        <w:rPr>
          <w:rFonts w:hint="eastAsia" w:ascii="仿宋_GB2312"/>
        </w:rPr>
      </w:pPr>
      <w:r>
        <w:rPr>
          <w:rFonts w:hint="eastAsia" w:ascii="仿宋_GB2312"/>
        </w:rPr>
        <w:t>4.</w:t>
      </w:r>
      <w:r>
        <w:rPr>
          <w:rFonts w:ascii="仿宋_GB2312"/>
        </w:rPr>
        <w:t>《中华人民共和国刑法》</w:t>
      </w:r>
      <w:r>
        <w:rPr>
          <w:rFonts w:hint="eastAsia" w:ascii="仿宋_GB2312"/>
        </w:rPr>
        <w:t>第七十六条：对宣告缓刑的犯罪分子，在缓刑考验期内，依法实行社区矫正，如果没有本法第七十七条规定的情形，缓刑考验期满，原判的刑罚就不再执行，并公开予以宣告。</w:t>
      </w:r>
    </w:p>
    <w:p>
      <w:pPr>
        <w:ind w:firstLine="674" w:firstLineChars="200"/>
        <w:rPr>
          <w:rFonts w:hint="eastAsia" w:ascii="仿宋_GB2312"/>
        </w:rPr>
      </w:pPr>
      <w:r>
        <w:rPr>
          <w:rFonts w:hint="eastAsia" w:ascii="仿宋_GB2312"/>
        </w:rPr>
        <w:t>5.《</w:t>
      </w:r>
      <w:r>
        <w:rPr>
          <w:rFonts w:ascii="仿宋_GB2312"/>
        </w:rPr>
        <w:t>最高人民法院、最高人民检察院关于办理妨害信用卡管理刑事案件具体应用法律若干问题的解释</w:t>
      </w:r>
      <w:bookmarkStart w:id="1" w:name="5"/>
      <w:r>
        <w:rPr>
          <w:rFonts w:hint="eastAsia" w:ascii="仿宋_GB2312"/>
        </w:rPr>
        <w:t>》</w:t>
      </w:r>
      <w:r>
        <w:rPr>
          <w:rFonts w:ascii="仿宋_GB2312"/>
        </w:rPr>
        <w:t>第五条</w:t>
      </w:r>
      <w:bookmarkEnd w:id="1"/>
      <w:r>
        <w:rPr>
          <w:rFonts w:hint="eastAsia" w:ascii="仿宋_GB2312"/>
        </w:rPr>
        <w:t>：</w:t>
      </w:r>
      <w:r>
        <w:rPr>
          <w:rFonts w:ascii="仿宋_GB2312"/>
        </w:rPr>
        <w:t>使用伪造的信用卡、以虚假的身份证明骗领的信用卡、作废的信用卡或者冒用他人信用卡，进行信用卡诈骗活动，数额在</w:t>
      </w:r>
      <w:r>
        <w:rPr>
          <w:rFonts w:hint="eastAsia" w:ascii="仿宋_GB2312"/>
        </w:rPr>
        <w:t>五千</w:t>
      </w:r>
      <w:r>
        <w:rPr>
          <w:rFonts w:ascii="仿宋_GB2312"/>
        </w:rPr>
        <w:t>元以上不满</w:t>
      </w:r>
      <w:r>
        <w:rPr>
          <w:rFonts w:hint="eastAsia" w:ascii="仿宋_GB2312"/>
        </w:rPr>
        <w:t>五</w:t>
      </w:r>
      <w:r>
        <w:rPr>
          <w:rFonts w:ascii="仿宋_GB2312"/>
        </w:rPr>
        <w:t>万元的，应当认定为</w:t>
      </w:r>
      <w:r>
        <w:rPr>
          <w:rFonts w:hint="eastAsia" w:ascii="仿宋_GB2312"/>
        </w:rPr>
        <w:fldChar w:fldCharType="begin"/>
      </w:r>
      <w:r>
        <w:rPr>
          <w:rFonts w:hint="eastAsia" w:ascii="仿宋_GB2312"/>
        </w:rPr>
        <w:instrText xml:space="preserve"> HYPERLINK "javascript:SLC(17010,0)" </w:instrText>
      </w:r>
      <w:r>
        <w:rPr>
          <w:rFonts w:hint="eastAsia" w:ascii="仿宋_GB2312"/>
        </w:rPr>
        <w:fldChar w:fldCharType="separate"/>
      </w:r>
      <w:r>
        <w:rPr>
          <w:rFonts w:ascii="仿宋_GB2312"/>
        </w:rPr>
        <w:t>刑法</w:t>
      </w:r>
      <w:r>
        <w:rPr>
          <w:rFonts w:hint="eastAsia" w:ascii="仿宋_GB2312"/>
        </w:rPr>
        <w:fldChar w:fldCharType="end"/>
      </w:r>
      <w:r>
        <w:rPr>
          <w:rFonts w:ascii="仿宋_GB2312"/>
        </w:rPr>
        <w:t>第</w:t>
      </w:r>
      <w:r>
        <w:rPr>
          <w:rFonts w:hint="eastAsia" w:ascii="仿宋_GB2312"/>
        </w:rPr>
        <w:fldChar w:fldCharType="begin"/>
      </w:r>
      <w:r>
        <w:rPr>
          <w:rFonts w:hint="eastAsia" w:ascii="仿宋_GB2312"/>
        </w:rPr>
        <w:instrText xml:space="preserve"> HYPERLINK "javascript:SLC(17010,196)" </w:instrText>
      </w:r>
      <w:r>
        <w:rPr>
          <w:rFonts w:hint="eastAsia" w:ascii="仿宋_GB2312"/>
        </w:rPr>
        <w:fldChar w:fldCharType="separate"/>
      </w:r>
      <w:r>
        <w:rPr>
          <w:rFonts w:ascii="仿宋_GB2312"/>
        </w:rPr>
        <w:t>一百九十六条</w:t>
      </w:r>
      <w:r>
        <w:rPr>
          <w:rFonts w:hint="eastAsia" w:ascii="仿宋_GB2312"/>
        </w:rPr>
        <w:fldChar w:fldCharType="end"/>
      </w:r>
      <w:r>
        <w:rPr>
          <w:rFonts w:ascii="仿宋_GB2312"/>
        </w:rPr>
        <w:t>规定的“数额较大”；数额在</w:t>
      </w:r>
      <w:r>
        <w:rPr>
          <w:rFonts w:hint="eastAsia" w:ascii="仿宋_GB2312"/>
        </w:rPr>
        <w:t>五</w:t>
      </w:r>
      <w:r>
        <w:rPr>
          <w:rFonts w:ascii="仿宋_GB2312"/>
        </w:rPr>
        <w:t>万元以上不满</w:t>
      </w:r>
      <w:r>
        <w:rPr>
          <w:rFonts w:hint="eastAsia" w:ascii="仿宋_GB2312"/>
        </w:rPr>
        <w:t>五十</w:t>
      </w:r>
      <w:r>
        <w:rPr>
          <w:rFonts w:ascii="仿宋_GB2312"/>
        </w:rPr>
        <w:t>万元的，应当认定为</w:t>
      </w:r>
      <w:r>
        <w:rPr>
          <w:rFonts w:hint="eastAsia" w:ascii="仿宋_GB2312"/>
        </w:rPr>
        <w:fldChar w:fldCharType="begin"/>
      </w:r>
      <w:r>
        <w:rPr>
          <w:rFonts w:hint="eastAsia" w:ascii="仿宋_GB2312"/>
        </w:rPr>
        <w:instrText xml:space="preserve"> HYPERLINK "javascript:SLC(17010,0)" </w:instrText>
      </w:r>
      <w:r>
        <w:rPr>
          <w:rFonts w:hint="eastAsia" w:ascii="仿宋_GB2312"/>
        </w:rPr>
        <w:fldChar w:fldCharType="separate"/>
      </w:r>
      <w:r>
        <w:rPr>
          <w:rFonts w:ascii="仿宋_GB2312"/>
        </w:rPr>
        <w:t>刑法</w:t>
      </w:r>
      <w:r>
        <w:rPr>
          <w:rFonts w:hint="eastAsia" w:ascii="仿宋_GB2312"/>
        </w:rPr>
        <w:fldChar w:fldCharType="end"/>
      </w:r>
      <w:r>
        <w:rPr>
          <w:rFonts w:ascii="仿宋_GB2312"/>
        </w:rPr>
        <w:t>第</w:t>
      </w:r>
      <w:r>
        <w:rPr>
          <w:rFonts w:hint="eastAsia" w:ascii="仿宋_GB2312"/>
        </w:rPr>
        <w:fldChar w:fldCharType="begin"/>
      </w:r>
      <w:r>
        <w:rPr>
          <w:rFonts w:hint="eastAsia" w:ascii="仿宋_GB2312"/>
        </w:rPr>
        <w:instrText xml:space="preserve"> HYPERLINK "javascript:SLC(17010,196)" </w:instrText>
      </w:r>
      <w:r>
        <w:rPr>
          <w:rFonts w:hint="eastAsia" w:ascii="仿宋_GB2312"/>
        </w:rPr>
        <w:fldChar w:fldCharType="separate"/>
      </w:r>
      <w:r>
        <w:rPr>
          <w:rFonts w:ascii="仿宋_GB2312"/>
        </w:rPr>
        <w:t>一百九十六条</w:t>
      </w:r>
      <w:r>
        <w:rPr>
          <w:rFonts w:hint="eastAsia" w:ascii="仿宋_GB2312"/>
        </w:rPr>
        <w:fldChar w:fldCharType="end"/>
      </w:r>
      <w:r>
        <w:rPr>
          <w:rFonts w:ascii="仿宋_GB2312"/>
        </w:rPr>
        <w:t>规定的“数额巨大”；数额在</w:t>
      </w:r>
      <w:r>
        <w:rPr>
          <w:rFonts w:hint="eastAsia" w:ascii="仿宋_GB2312"/>
        </w:rPr>
        <w:t>五十</w:t>
      </w:r>
      <w:r>
        <w:rPr>
          <w:rFonts w:ascii="仿宋_GB2312"/>
        </w:rPr>
        <w:t>万元以上的，应当认定为</w:t>
      </w:r>
      <w:r>
        <w:rPr>
          <w:rFonts w:hint="eastAsia" w:ascii="仿宋_GB2312"/>
        </w:rPr>
        <w:fldChar w:fldCharType="begin"/>
      </w:r>
      <w:r>
        <w:rPr>
          <w:rFonts w:hint="eastAsia" w:ascii="仿宋_GB2312"/>
        </w:rPr>
        <w:instrText xml:space="preserve"> HYPERLINK "javascript:SLC(17010,0)" </w:instrText>
      </w:r>
      <w:r>
        <w:rPr>
          <w:rFonts w:hint="eastAsia" w:ascii="仿宋_GB2312"/>
        </w:rPr>
        <w:fldChar w:fldCharType="separate"/>
      </w:r>
      <w:r>
        <w:rPr>
          <w:rFonts w:ascii="仿宋_GB2312"/>
        </w:rPr>
        <w:t>刑法</w:t>
      </w:r>
      <w:r>
        <w:rPr>
          <w:rFonts w:hint="eastAsia" w:ascii="仿宋_GB2312"/>
        </w:rPr>
        <w:fldChar w:fldCharType="end"/>
      </w:r>
      <w:r>
        <w:rPr>
          <w:rFonts w:ascii="仿宋_GB2312"/>
        </w:rPr>
        <w:t>第</w:t>
      </w:r>
      <w:r>
        <w:rPr>
          <w:rFonts w:hint="eastAsia" w:ascii="仿宋_GB2312"/>
        </w:rPr>
        <w:fldChar w:fldCharType="begin"/>
      </w:r>
      <w:r>
        <w:rPr>
          <w:rFonts w:hint="eastAsia" w:ascii="仿宋_GB2312"/>
        </w:rPr>
        <w:instrText xml:space="preserve"> HYPERLINK "javascript:SLC(17010,196)" </w:instrText>
      </w:r>
      <w:r>
        <w:rPr>
          <w:rFonts w:hint="eastAsia" w:ascii="仿宋_GB2312"/>
        </w:rPr>
        <w:fldChar w:fldCharType="separate"/>
      </w:r>
      <w:r>
        <w:rPr>
          <w:rFonts w:ascii="仿宋_GB2312"/>
        </w:rPr>
        <w:t>一百九十六条</w:t>
      </w:r>
      <w:r>
        <w:rPr>
          <w:rFonts w:hint="eastAsia" w:ascii="仿宋_GB2312"/>
        </w:rPr>
        <w:fldChar w:fldCharType="end"/>
      </w:r>
      <w:r>
        <w:rPr>
          <w:rFonts w:ascii="仿宋_GB2312"/>
        </w:rPr>
        <w:t>规定的“数额特别巨大”。</w:t>
      </w:r>
    </w:p>
    <w:p>
      <w:pPr>
        <w:ind w:firstLine="674" w:firstLineChars="200"/>
        <w:rPr>
          <w:rFonts w:hint="eastAsia" w:ascii="仿宋_GB2312"/>
        </w:rPr>
      </w:pPr>
      <w:r>
        <w:rPr>
          <w:rFonts w:hint="eastAsia" w:ascii="仿宋_GB2312"/>
        </w:rPr>
        <w:fldChar w:fldCharType="begin"/>
      </w:r>
      <w:r>
        <w:rPr>
          <w:rFonts w:hint="eastAsia" w:ascii="仿宋_GB2312"/>
        </w:rPr>
        <w:instrText xml:space="preserve"> HYPERLINK "javascript:SLC(17010,0)" </w:instrText>
      </w:r>
      <w:r>
        <w:rPr>
          <w:rFonts w:hint="eastAsia" w:ascii="仿宋_GB2312"/>
        </w:rPr>
        <w:fldChar w:fldCharType="separate"/>
      </w:r>
      <w:r>
        <w:rPr>
          <w:rFonts w:ascii="仿宋_GB2312"/>
        </w:rPr>
        <w:t>刑法</w:t>
      </w:r>
      <w:r>
        <w:rPr>
          <w:rFonts w:hint="eastAsia" w:ascii="仿宋_GB2312"/>
        </w:rPr>
        <w:fldChar w:fldCharType="end"/>
      </w:r>
      <w:r>
        <w:rPr>
          <w:rFonts w:ascii="仿宋_GB2312"/>
        </w:rPr>
        <w:t>第</w:t>
      </w:r>
      <w:r>
        <w:rPr>
          <w:rFonts w:hint="eastAsia" w:ascii="仿宋_GB2312"/>
        </w:rPr>
        <w:fldChar w:fldCharType="begin"/>
      </w:r>
      <w:r>
        <w:rPr>
          <w:rFonts w:hint="eastAsia" w:ascii="仿宋_GB2312"/>
        </w:rPr>
        <w:instrText xml:space="preserve"> HYPERLINK "javascript:SLC(17010,196)" </w:instrText>
      </w:r>
      <w:r>
        <w:rPr>
          <w:rFonts w:hint="eastAsia" w:ascii="仿宋_GB2312"/>
        </w:rPr>
        <w:fldChar w:fldCharType="separate"/>
      </w:r>
      <w:r>
        <w:rPr>
          <w:rFonts w:ascii="仿宋_GB2312"/>
        </w:rPr>
        <w:t>一百九十六条</w:t>
      </w:r>
      <w:r>
        <w:rPr>
          <w:rFonts w:hint="eastAsia" w:ascii="仿宋_GB2312"/>
        </w:rPr>
        <w:fldChar w:fldCharType="end"/>
      </w:r>
      <w:r>
        <w:rPr>
          <w:rFonts w:ascii="仿宋_GB2312"/>
        </w:rPr>
        <w:t>第一款第（三）项所称“冒用他人信用卡”，包括以下情形：（一）拾得他人信用卡并使用的；（二）骗取他人信用卡并使用的；（三）窃取、收买、骗取或者以其他非法方式获取他人信用卡信息资料，并通过互联网、通讯终端等使用的；（四）其他冒用他人信用卡的情形。</w:t>
      </w: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3</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2</w: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558F"/>
    <w:rsid w:val="00005066"/>
    <w:rsid w:val="000128E2"/>
    <w:rsid w:val="00013A0D"/>
    <w:rsid w:val="0001578A"/>
    <w:rsid w:val="00016A1E"/>
    <w:rsid w:val="000204EB"/>
    <w:rsid w:val="00022B06"/>
    <w:rsid w:val="000264B2"/>
    <w:rsid w:val="000269E7"/>
    <w:rsid w:val="00030313"/>
    <w:rsid w:val="0003221B"/>
    <w:rsid w:val="00032E47"/>
    <w:rsid w:val="00032E51"/>
    <w:rsid w:val="00035410"/>
    <w:rsid w:val="00042C8A"/>
    <w:rsid w:val="00042D18"/>
    <w:rsid w:val="0006190B"/>
    <w:rsid w:val="00071F7E"/>
    <w:rsid w:val="00086249"/>
    <w:rsid w:val="00095195"/>
    <w:rsid w:val="00097C0F"/>
    <w:rsid w:val="000A61A2"/>
    <w:rsid w:val="000B4014"/>
    <w:rsid w:val="000B6D8B"/>
    <w:rsid w:val="000C036A"/>
    <w:rsid w:val="000C7994"/>
    <w:rsid w:val="000D37B1"/>
    <w:rsid w:val="000D43D1"/>
    <w:rsid w:val="000E75B7"/>
    <w:rsid w:val="000F0175"/>
    <w:rsid w:val="000F1284"/>
    <w:rsid w:val="0010701B"/>
    <w:rsid w:val="001136F3"/>
    <w:rsid w:val="00114C57"/>
    <w:rsid w:val="001304FF"/>
    <w:rsid w:val="00132815"/>
    <w:rsid w:val="00132D2F"/>
    <w:rsid w:val="001463DE"/>
    <w:rsid w:val="0015051B"/>
    <w:rsid w:val="00165E16"/>
    <w:rsid w:val="00167B09"/>
    <w:rsid w:val="00167F8F"/>
    <w:rsid w:val="0018289D"/>
    <w:rsid w:val="00182E49"/>
    <w:rsid w:val="0019428C"/>
    <w:rsid w:val="00194DBD"/>
    <w:rsid w:val="001A1EF7"/>
    <w:rsid w:val="001A63B2"/>
    <w:rsid w:val="001B04C0"/>
    <w:rsid w:val="001C031C"/>
    <w:rsid w:val="001C0417"/>
    <w:rsid w:val="001C279D"/>
    <w:rsid w:val="001C2E65"/>
    <w:rsid w:val="001C3404"/>
    <w:rsid w:val="001D344D"/>
    <w:rsid w:val="001D5CD1"/>
    <w:rsid w:val="001D68E1"/>
    <w:rsid w:val="001D7057"/>
    <w:rsid w:val="001E5AAA"/>
    <w:rsid w:val="001E6401"/>
    <w:rsid w:val="0020499D"/>
    <w:rsid w:val="00205F4A"/>
    <w:rsid w:val="002104AA"/>
    <w:rsid w:val="00220509"/>
    <w:rsid w:val="00221EDC"/>
    <w:rsid w:val="0022202D"/>
    <w:rsid w:val="002302D6"/>
    <w:rsid w:val="0024109F"/>
    <w:rsid w:val="0024506B"/>
    <w:rsid w:val="00250321"/>
    <w:rsid w:val="00252DC6"/>
    <w:rsid w:val="0025390C"/>
    <w:rsid w:val="00254CD1"/>
    <w:rsid w:val="00255C48"/>
    <w:rsid w:val="002818F4"/>
    <w:rsid w:val="00285E86"/>
    <w:rsid w:val="002947BB"/>
    <w:rsid w:val="002A51C8"/>
    <w:rsid w:val="002B1479"/>
    <w:rsid w:val="002B2EA0"/>
    <w:rsid w:val="002B3F96"/>
    <w:rsid w:val="002C5525"/>
    <w:rsid w:val="002D7E9B"/>
    <w:rsid w:val="002E21E7"/>
    <w:rsid w:val="002E2371"/>
    <w:rsid w:val="002E3A00"/>
    <w:rsid w:val="002E607D"/>
    <w:rsid w:val="00303A8B"/>
    <w:rsid w:val="00303F35"/>
    <w:rsid w:val="00305322"/>
    <w:rsid w:val="00306B9B"/>
    <w:rsid w:val="003124A0"/>
    <w:rsid w:val="00316B23"/>
    <w:rsid w:val="00322407"/>
    <w:rsid w:val="003561D6"/>
    <w:rsid w:val="00361A2C"/>
    <w:rsid w:val="00362FE6"/>
    <w:rsid w:val="0038043E"/>
    <w:rsid w:val="0038647E"/>
    <w:rsid w:val="003A0B92"/>
    <w:rsid w:val="003A3928"/>
    <w:rsid w:val="003B0929"/>
    <w:rsid w:val="003B41FC"/>
    <w:rsid w:val="003B4948"/>
    <w:rsid w:val="003C005F"/>
    <w:rsid w:val="003C2AF0"/>
    <w:rsid w:val="003C4E17"/>
    <w:rsid w:val="003E0019"/>
    <w:rsid w:val="003E0945"/>
    <w:rsid w:val="003E1811"/>
    <w:rsid w:val="003E21A4"/>
    <w:rsid w:val="003F61B0"/>
    <w:rsid w:val="00401657"/>
    <w:rsid w:val="004026B2"/>
    <w:rsid w:val="0040527F"/>
    <w:rsid w:val="004077EA"/>
    <w:rsid w:val="004137F6"/>
    <w:rsid w:val="00420619"/>
    <w:rsid w:val="00421C72"/>
    <w:rsid w:val="00430AA1"/>
    <w:rsid w:val="00433478"/>
    <w:rsid w:val="00451C71"/>
    <w:rsid w:val="004564D1"/>
    <w:rsid w:val="00457D10"/>
    <w:rsid w:val="0046141D"/>
    <w:rsid w:val="00465062"/>
    <w:rsid w:val="00480682"/>
    <w:rsid w:val="004841C1"/>
    <w:rsid w:val="0048760F"/>
    <w:rsid w:val="00495548"/>
    <w:rsid w:val="00497CFC"/>
    <w:rsid w:val="004A23B8"/>
    <w:rsid w:val="004A2ADB"/>
    <w:rsid w:val="004A2B66"/>
    <w:rsid w:val="004B170A"/>
    <w:rsid w:val="004B3591"/>
    <w:rsid w:val="004B5FBB"/>
    <w:rsid w:val="004C2D44"/>
    <w:rsid w:val="004C5A9A"/>
    <w:rsid w:val="004C7145"/>
    <w:rsid w:val="004D258E"/>
    <w:rsid w:val="004E4344"/>
    <w:rsid w:val="004E577F"/>
    <w:rsid w:val="004E7C86"/>
    <w:rsid w:val="004F2405"/>
    <w:rsid w:val="004F49FC"/>
    <w:rsid w:val="004F6456"/>
    <w:rsid w:val="0050595A"/>
    <w:rsid w:val="005079CD"/>
    <w:rsid w:val="00510E87"/>
    <w:rsid w:val="0052711A"/>
    <w:rsid w:val="00533D75"/>
    <w:rsid w:val="0053424C"/>
    <w:rsid w:val="00534681"/>
    <w:rsid w:val="00537518"/>
    <w:rsid w:val="00543093"/>
    <w:rsid w:val="005540AE"/>
    <w:rsid w:val="00557601"/>
    <w:rsid w:val="00557E46"/>
    <w:rsid w:val="0056052A"/>
    <w:rsid w:val="00561F66"/>
    <w:rsid w:val="00562798"/>
    <w:rsid w:val="00565463"/>
    <w:rsid w:val="00565DC0"/>
    <w:rsid w:val="00566FF9"/>
    <w:rsid w:val="00570DE7"/>
    <w:rsid w:val="005904B9"/>
    <w:rsid w:val="00594268"/>
    <w:rsid w:val="005A03A5"/>
    <w:rsid w:val="005A7956"/>
    <w:rsid w:val="005B1B2C"/>
    <w:rsid w:val="005B654A"/>
    <w:rsid w:val="005C29AD"/>
    <w:rsid w:val="005E7D93"/>
    <w:rsid w:val="005F31D7"/>
    <w:rsid w:val="005F6265"/>
    <w:rsid w:val="00602127"/>
    <w:rsid w:val="00603320"/>
    <w:rsid w:val="00603F06"/>
    <w:rsid w:val="00604DD7"/>
    <w:rsid w:val="006050BD"/>
    <w:rsid w:val="00606F58"/>
    <w:rsid w:val="0061028E"/>
    <w:rsid w:val="00615624"/>
    <w:rsid w:val="00621421"/>
    <w:rsid w:val="00621B5D"/>
    <w:rsid w:val="00625DEC"/>
    <w:rsid w:val="0062764A"/>
    <w:rsid w:val="00633804"/>
    <w:rsid w:val="006372A2"/>
    <w:rsid w:val="00637731"/>
    <w:rsid w:val="00640F85"/>
    <w:rsid w:val="006413E9"/>
    <w:rsid w:val="00650632"/>
    <w:rsid w:val="00653270"/>
    <w:rsid w:val="00653FCE"/>
    <w:rsid w:val="00655266"/>
    <w:rsid w:val="006564A5"/>
    <w:rsid w:val="006609B7"/>
    <w:rsid w:val="0066213D"/>
    <w:rsid w:val="00672563"/>
    <w:rsid w:val="00673281"/>
    <w:rsid w:val="006762B3"/>
    <w:rsid w:val="00682D5A"/>
    <w:rsid w:val="00684349"/>
    <w:rsid w:val="00684514"/>
    <w:rsid w:val="00684DB5"/>
    <w:rsid w:val="006851E2"/>
    <w:rsid w:val="006936B0"/>
    <w:rsid w:val="006A278B"/>
    <w:rsid w:val="006B0394"/>
    <w:rsid w:val="006D3E03"/>
    <w:rsid w:val="006D4AD2"/>
    <w:rsid w:val="006D774E"/>
    <w:rsid w:val="006E16A4"/>
    <w:rsid w:val="006E1C72"/>
    <w:rsid w:val="006E599E"/>
    <w:rsid w:val="006E7575"/>
    <w:rsid w:val="00706AF6"/>
    <w:rsid w:val="007173D2"/>
    <w:rsid w:val="00717687"/>
    <w:rsid w:val="00722D68"/>
    <w:rsid w:val="007248A2"/>
    <w:rsid w:val="00725927"/>
    <w:rsid w:val="007276B0"/>
    <w:rsid w:val="0073556E"/>
    <w:rsid w:val="007367A8"/>
    <w:rsid w:val="00736877"/>
    <w:rsid w:val="00745BDF"/>
    <w:rsid w:val="00747B23"/>
    <w:rsid w:val="00750EB3"/>
    <w:rsid w:val="00753ECB"/>
    <w:rsid w:val="0075448B"/>
    <w:rsid w:val="00754CC5"/>
    <w:rsid w:val="00760279"/>
    <w:rsid w:val="00760D3F"/>
    <w:rsid w:val="00763A07"/>
    <w:rsid w:val="0076483B"/>
    <w:rsid w:val="00765F50"/>
    <w:rsid w:val="00770699"/>
    <w:rsid w:val="0078020B"/>
    <w:rsid w:val="00785BEF"/>
    <w:rsid w:val="00785CFA"/>
    <w:rsid w:val="007862D1"/>
    <w:rsid w:val="00792FE6"/>
    <w:rsid w:val="00796458"/>
    <w:rsid w:val="007969B8"/>
    <w:rsid w:val="00797807"/>
    <w:rsid w:val="007A1E56"/>
    <w:rsid w:val="007A575E"/>
    <w:rsid w:val="007B220B"/>
    <w:rsid w:val="007B45D6"/>
    <w:rsid w:val="007C0832"/>
    <w:rsid w:val="007C1C62"/>
    <w:rsid w:val="007C3B9D"/>
    <w:rsid w:val="007C465E"/>
    <w:rsid w:val="007C64A0"/>
    <w:rsid w:val="007C69E6"/>
    <w:rsid w:val="007E0209"/>
    <w:rsid w:val="007E1247"/>
    <w:rsid w:val="007E133C"/>
    <w:rsid w:val="007F3861"/>
    <w:rsid w:val="008038D7"/>
    <w:rsid w:val="0081387C"/>
    <w:rsid w:val="0082368A"/>
    <w:rsid w:val="00851396"/>
    <w:rsid w:val="008520BD"/>
    <w:rsid w:val="00854689"/>
    <w:rsid w:val="00867D09"/>
    <w:rsid w:val="00870274"/>
    <w:rsid w:val="00872893"/>
    <w:rsid w:val="00875BE3"/>
    <w:rsid w:val="00880E5C"/>
    <w:rsid w:val="00885CAA"/>
    <w:rsid w:val="0088796D"/>
    <w:rsid w:val="00894920"/>
    <w:rsid w:val="008B31AA"/>
    <w:rsid w:val="008B53BA"/>
    <w:rsid w:val="008C1F01"/>
    <w:rsid w:val="008E2FDC"/>
    <w:rsid w:val="008E44F4"/>
    <w:rsid w:val="008E52D3"/>
    <w:rsid w:val="008E797C"/>
    <w:rsid w:val="00903EF6"/>
    <w:rsid w:val="00911001"/>
    <w:rsid w:val="00925DEC"/>
    <w:rsid w:val="00933927"/>
    <w:rsid w:val="00962049"/>
    <w:rsid w:val="00967316"/>
    <w:rsid w:val="00977B9E"/>
    <w:rsid w:val="0098193E"/>
    <w:rsid w:val="0099529E"/>
    <w:rsid w:val="009A1789"/>
    <w:rsid w:val="009A6755"/>
    <w:rsid w:val="009A7AD7"/>
    <w:rsid w:val="009B0365"/>
    <w:rsid w:val="009B3945"/>
    <w:rsid w:val="009B6FB3"/>
    <w:rsid w:val="009C09F0"/>
    <w:rsid w:val="009C0BD2"/>
    <w:rsid w:val="009C1B4B"/>
    <w:rsid w:val="009C3E0C"/>
    <w:rsid w:val="009C42BC"/>
    <w:rsid w:val="009C6E3B"/>
    <w:rsid w:val="009D0EF2"/>
    <w:rsid w:val="009E4286"/>
    <w:rsid w:val="009E6DEB"/>
    <w:rsid w:val="00A10AEC"/>
    <w:rsid w:val="00A1700B"/>
    <w:rsid w:val="00A63931"/>
    <w:rsid w:val="00A71B8D"/>
    <w:rsid w:val="00A72CD8"/>
    <w:rsid w:val="00A73164"/>
    <w:rsid w:val="00A8111A"/>
    <w:rsid w:val="00A823AE"/>
    <w:rsid w:val="00A83FB1"/>
    <w:rsid w:val="00A96516"/>
    <w:rsid w:val="00AA1510"/>
    <w:rsid w:val="00AA4821"/>
    <w:rsid w:val="00AB7494"/>
    <w:rsid w:val="00AD1FBE"/>
    <w:rsid w:val="00AE3E82"/>
    <w:rsid w:val="00AF303B"/>
    <w:rsid w:val="00AF4F94"/>
    <w:rsid w:val="00B02D6D"/>
    <w:rsid w:val="00B13B6C"/>
    <w:rsid w:val="00B15548"/>
    <w:rsid w:val="00B32596"/>
    <w:rsid w:val="00B376BB"/>
    <w:rsid w:val="00B50425"/>
    <w:rsid w:val="00B54D0A"/>
    <w:rsid w:val="00B72633"/>
    <w:rsid w:val="00B86814"/>
    <w:rsid w:val="00B87EF1"/>
    <w:rsid w:val="00B94002"/>
    <w:rsid w:val="00BA1638"/>
    <w:rsid w:val="00BA2A5F"/>
    <w:rsid w:val="00BA7F62"/>
    <w:rsid w:val="00BB7559"/>
    <w:rsid w:val="00BC4068"/>
    <w:rsid w:val="00BE6C6C"/>
    <w:rsid w:val="00BF0149"/>
    <w:rsid w:val="00BF3D0E"/>
    <w:rsid w:val="00BF5477"/>
    <w:rsid w:val="00C01FC4"/>
    <w:rsid w:val="00C04CDB"/>
    <w:rsid w:val="00C05D04"/>
    <w:rsid w:val="00C10E1C"/>
    <w:rsid w:val="00C110C8"/>
    <w:rsid w:val="00C20B33"/>
    <w:rsid w:val="00C2467A"/>
    <w:rsid w:val="00C249B6"/>
    <w:rsid w:val="00C24D60"/>
    <w:rsid w:val="00C26B4A"/>
    <w:rsid w:val="00C27160"/>
    <w:rsid w:val="00C33F92"/>
    <w:rsid w:val="00C341E7"/>
    <w:rsid w:val="00C51BA3"/>
    <w:rsid w:val="00C54B44"/>
    <w:rsid w:val="00C62167"/>
    <w:rsid w:val="00C67844"/>
    <w:rsid w:val="00C94FE0"/>
    <w:rsid w:val="00C9756F"/>
    <w:rsid w:val="00C977D9"/>
    <w:rsid w:val="00CA3709"/>
    <w:rsid w:val="00CC1580"/>
    <w:rsid w:val="00CD13B0"/>
    <w:rsid w:val="00CD1F81"/>
    <w:rsid w:val="00CD3B26"/>
    <w:rsid w:val="00CE016E"/>
    <w:rsid w:val="00CE1C55"/>
    <w:rsid w:val="00CE4873"/>
    <w:rsid w:val="00CF3D07"/>
    <w:rsid w:val="00CF5315"/>
    <w:rsid w:val="00D116D2"/>
    <w:rsid w:val="00D14DCF"/>
    <w:rsid w:val="00D24526"/>
    <w:rsid w:val="00D315DE"/>
    <w:rsid w:val="00D36CAB"/>
    <w:rsid w:val="00D421FF"/>
    <w:rsid w:val="00D50200"/>
    <w:rsid w:val="00D50603"/>
    <w:rsid w:val="00D646F3"/>
    <w:rsid w:val="00D67682"/>
    <w:rsid w:val="00D679C2"/>
    <w:rsid w:val="00D755FF"/>
    <w:rsid w:val="00D8381C"/>
    <w:rsid w:val="00D83ADF"/>
    <w:rsid w:val="00D9181D"/>
    <w:rsid w:val="00D91C76"/>
    <w:rsid w:val="00D92042"/>
    <w:rsid w:val="00D93EF0"/>
    <w:rsid w:val="00D9499A"/>
    <w:rsid w:val="00D9558F"/>
    <w:rsid w:val="00DB5760"/>
    <w:rsid w:val="00DB79F8"/>
    <w:rsid w:val="00DC3908"/>
    <w:rsid w:val="00DC7F2F"/>
    <w:rsid w:val="00DE48AA"/>
    <w:rsid w:val="00E07E20"/>
    <w:rsid w:val="00E11018"/>
    <w:rsid w:val="00E13E50"/>
    <w:rsid w:val="00E14119"/>
    <w:rsid w:val="00E16C9B"/>
    <w:rsid w:val="00E241DB"/>
    <w:rsid w:val="00E320B3"/>
    <w:rsid w:val="00E35225"/>
    <w:rsid w:val="00E42333"/>
    <w:rsid w:val="00E43F03"/>
    <w:rsid w:val="00E44C1E"/>
    <w:rsid w:val="00E454C1"/>
    <w:rsid w:val="00E606BE"/>
    <w:rsid w:val="00EC2FDD"/>
    <w:rsid w:val="00EC5280"/>
    <w:rsid w:val="00ED2E22"/>
    <w:rsid w:val="00EE1638"/>
    <w:rsid w:val="00EE3C05"/>
    <w:rsid w:val="00EE65BC"/>
    <w:rsid w:val="00EF7FB6"/>
    <w:rsid w:val="00F04797"/>
    <w:rsid w:val="00F05DEB"/>
    <w:rsid w:val="00F13707"/>
    <w:rsid w:val="00F151C5"/>
    <w:rsid w:val="00F20D48"/>
    <w:rsid w:val="00F254F8"/>
    <w:rsid w:val="00F27456"/>
    <w:rsid w:val="00F312BE"/>
    <w:rsid w:val="00F35D20"/>
    <w:rsid w:val="00F44018"/>
    <w:rsid w:val="00F46432"/>
    <w:rsid w:val="00F50FB0"/>
    <w:rsid w:val="00F57E47"/>
    <w:rsid w:val="00F66C8E"/>
    <w:rsid w:val="00F72F7C"/>
    <w:rsid w:val="00F76140"/>
    <w:rsid w:val="00F76C01"/>
    <w:rsid w:val="00F81254"/>
    <w:rsid w:val="00F84401"/>
    <w:rsid w:val="00F9425F"/>
    <w:rsid w:val="00F94954"/>
    <w:rsid w:val="00FA75FE"/>
    <w:rsid w:val="00FB61BC"/>
    <w:rsid w:val="00FB6BDC"/>
    <w:rsid w:val="00FC5410"/>
    <w:rsid w:val="00FC558F"/>
    <w:rsid w:val="00FC6277"/>
    <w:rsid w:val="00FC6EA6"/>
    <w:rsid w:val="00FD324F"/>
    <w:rsid w:val="00FF429C"/>
    <w:rsid w:val="0EEA7536"/>
    <w:rsid w:val="20D91D66"/>
    <w:rsid w:val="5B872F17"/>
    <w:rsid w:val="649533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link w:val="5"/>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Indent"/>
    <w:basedOn w:val="1"/>
    <w:qFormat/>
    <w:uiPriority w:val="0"/>
    <w:pPr>
      <w:autoSpaceDE w:val="0"/>
      <w:autoSpaceDN w:val="0"/>
      <w:adjustRightInd w:val="0"/>
      <w:spacing w:line="560" w:lineRule="exact"/>
      <w:ind w:firstLine="600"/>
    </w:pPr>
    <w:rPr>
      <w:szCs w:val="20"/>
    </w:rPr>
  </w:style>
  <w:style w:type="paragraph" w:styleId="3">
    <w:name w:val="footer"/>
    <w:basedOn w:val="1"/>
    <w:uiPriority w:val="0"/>
    <w:pPr>
      <w:tabs>
        <w:tab w:val="center" w:pos="4153"/>
        <w:tab w:val="right" w:pos="8306"/>
      </w:tabs>
      <w:snapToGrid w:val="0"/>
      <w:jc w:val="left"/>
    </w:pPr>
    <w:rPr>
      <w:sz w:val="18"/>
      <w:szCs w:val="18"/>
    </w:rPr>
  </w:style>
  <w:style w:type="paragraph" w:customStyle="1" w:styleId="5">
    <w:name w:val=" Char"/>
    <w:basedOn w:val="1"/>
    <w:link w:val="4"/>
    <w:qFormat/>
    <w:uiPriority w:val="0"/>
    <w:pPr>
      <w:widowControl/>
      <w:spacing w:after="160" w:line="240" w:lineRule="exact"/>
      <w:jc w:val="left"/>
    </w:pPr>
    <w:rPr>
      <w:rFonts w:ascii="Verdana" w:hAnsi="Verdana"/>
      <w:kern w:val="0"/>
      <w:sz w:val="24"/>
      <w:szCs w:val="20"/>
      <w:lang w:eastAsia="en-US"/>
    </w:rPr>
  </w:style>
  <w:style w:type="character" w:styleId="6">
    <w:name w:val="page number"/>
    <w:basedOn w:val="4"/>
    <w:uiPriority w:val="0"/>
  </w:style>
  <w:style w:type="paragraph" w:customStyle="1" w:styleId="8">
    <w:name w:val="样式1"/>
    <w:basedOn w:val="1"/>
    <w:qFormat/>
    <w:uiPriority w:val="0"/>
    <w:pPr>
      <w:ind w:firstLine="542" w:firstLineChars="150"/>
      <w:jc w:val="center"/>
    </w:pPr>
    <w:rPr>
      <w:rFonts w:ascii="宋体" w:hAnsi="宋体"/>
      <w:b/>
      <w:sz w:val="24"/>
      <w:szCs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My%20Documents\&#26032;&#24314;&#25991;&#20214;&#22841;%20(2)\&#22797;&#20214;%20&#28392;&#28023;&#27861;&#38498;&#21028;&#20915;&#20070;&#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复件 滨海法院判决书模板</Template>
  <Company>落雪梨花——扬帆技术论坛更新版</Company>
  <Pages>1</Pages>
  <Words>431</Words>
  <Characters>2463</Characters>
  <Lines>20</Lines>
  <Paragraphs>5</Paragraphs>
  <TotalTime>0</TotalTime>
  <ScaleCrop>false</ScaleCrop>
  <LinksUpToDate>false</LinksUpToDate>
  <CharactersWithSpaces>2889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2011-04-27T02:03:00Z</dcterms:created>
  <dc:creator>微软中国</dc:creator>
  <cp:lastModifiedBy>TF-PC</cp:lastModifiedBy>
  <cp:lastPrinted>2011-04-20T00:54:00Z</cp:lastPrinted>
  <dcterms:modified xsi:type="dcterms:W3CDTF">2018-08-27T09:40:44Z</dcterms:modified>
  <dc:title>天 津 市 滨 海 新 区 人 民 法 院</dc:title>
  <cp:revision>319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