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line="360" w:lineRule="auto"/>
        <w:jc w:val="center"/>
        <w:rPr>
          <w:color w:val="000000"/>
          <w:kern w:val="0"/>
          <w:sz w:val="24"/>
        </w:rPr>
      </w:pPr>
      <w:bookmarkStart w:id="0" w:name="_GoBack"/>
      <w:bookmarkEnd w:id="0"/>
      <w:r>
        <w:rPr>
          <w:rFonts w:eastAsia="楷体_GB2312"/>
          <w:color w:val="000000"/>
          <w:kern w:val="0"/>
          <w:sz w:val="44"/>
          <w:szCs w:val="44"/>
        </w:rPr>
        <w:t>天津市河西区人民法院</w:t>
      </w:r>
    </w:p>
    <w:p>
      <w:pPr>
        <w:widowControl/>
        <w:spacing w:before="100" w:beforeAutospacing="1" w:after="100" w:afterAutospacing="1" w:line="360" w:lineRule="auto"/>
        <w:jc w:val="center"/>
        <w:rPr>
          <w:rFonts w:eastAsia="黑体"/>
          <w:color w:val="000000"/>
          <w:kern w:val="0"/>
          <w:sz w:val="52"/>
          <w:szCs w:val="52"/>
        </w:rPr>
      </w:pPr>
      <w:r>
        <w:rPr>
          <w:rFonts w:eastAsia="黑体"/>
          <w:color w:val="000000"/>
          <w:kern w:val="0"/>
          <w:sz w:val="52"/>
          <w:szCs w:val="52"/>
        </w:rPr>
        <w:t>刑 事 判 决 书</w:t>
      </w:r>
    </w:p>
    <w:p>
      <w:pPr>
        <w:spacing w:line="500" w:lineRule="exact"/>
        <w:ind w:right="32"/>
        <w:jc w:val="right"/>
        <w:rPr>
          <w:rFonts w:hint="eastAsia" w:eastAsia="仿宋_GB2312"/>
          <w:sz w:val="32"/>
          <w:szCs w:val="32"/>
        </w:rPr>
      </w:pPr>
      <w:r>
        <w:rPr>
          <w:color w:val="000000"/>
          <w:kern w:val="0"/>
          <w:sz w:val="24"/>
        </w:rPr>
        <w:t xml:space="preserve">      </w:t>
      </w:r>
      <w:r>
        <w:rPr>
          <w:rFonts w:hint="eastAsia" w:eastAsia="仿宋_GB2312"/>
          <w:sz w:val="32"/>
          <w:szCs w:val="32"/>
        </w:rPr>
        <w:t>（</w:t>
      </w:r>
      <w:r>
        <w:rPr>
          <w:rFonts w:eastAsia="仿宋_GB2312"/>
          <w:sz w:val="32"/>
          <w:szCs w:val="32"/>
        </w:rPr>
        <w:t>2014</w:t>
      </w:r>
      <w:r>
        <w:rPr>
          <w:rFonts w:hint="eastAsia" w:eastAsia="仿宋_GB2312"/>
          <w:sz w:val="32"/>
          <w:szCs w:val="32"/>
        </w:rPr>
        <w:t>）</w:t>
      </w:r>
      <w:r>
        <w:rPr>
          <w:rFonts w:eastAsia="仿宋_GB2312"/>
          <w:sz w:val="32"/>
          <w:szCs w:val="32"/>
        </w:rPr>
        <w:t>西刑初</w:t>
      </w:r>
      <w:r>
        <w:rPr>
          <w:rFonts w:hint="eastAsia" w:eastAsia="仿宋_GB2312"/>
          <w:sz w:val="32"/>
          <w:szCs w:val="32"/>
        </w:rPr>
        <w:t>字第</w:t>
      </w:r>
      <w:r>
        <w:rPr>
          <w:rFonts w:eastAsia="仿宋_GB2312"/>
          <w:sz w:val="32"/>
          <w:szCs w:val="32"/>
        </w:rPr>
        <w:t>157号</w:t>
      </w:r>
    </w:p>
    <w:p>
      <w:pPr>
        <w:widowControl/>
        <w:snapToGrid w:val="0"/>
        <w:spacing w:line="500" w:lineRule="exact"/>
        <w:rPr>
          <w:rFonts w:hint="eastAsia" w:eastAsia="仿宋_GB2312"/>
          <w:sz w:val="32"/>
          <w:szCs w:val="32"/>
        </w:rPr>
      </w:pPr>
    </w:p>
    <w:p>
      <w:pPr>
        <w:widowControl/>
        <w:snapToGrid w:val="0"/>
        <w:spacing w:line="500" w:lineRule="exact"/>
        <w:ind w:firstLine="640" w:firstLineChars="200"/>
        <w:rPr>
          <w:rFonts w:eastAsia="仿宋_GB2312"/>
          <w:kern w:val="0"/>
          <w:sz w:val="30"/>
          <w:szCs w:val="30"/>
        </w:rPr>
      </w:pPr>
      <w:r>
        <w:rPr>
          <w:rFonts w:eastAsia="仿宋_GB2312"/>
          <w:sz w:val="32"/>
          <w:szCs w:val="32"/>
        </w:rPr>
        <w:t>公诉机关天津市河西区人民检察院。</w:t>
      </w:r>
    </w:p>
    <w:p>
      <w:pPr>
        <w:autoSpaceDE w:val="0"/>
        <w:autoSpaceDN w:val="0"/>
        <w:adjustRightInd w:val="0"/>
        <w:spacing w:line="500" w:lineRule="exact"/>
        <w:ind w:left="2" w:leftChars="1" w:firstLine="640" w:firstLineChars="200"/>
        <w:rPr>
          <w:rFonts w:eastAsia="仿宋_GB2312"/>
          <w:kern w:val="0"/>
          <w:sz w:val="32"/>
          <w:szCs w:val="32"/>
          <w:lang w:val="zh-CN"/>
        </w:rPr>
      </w:pPr>
      <w:r>
        <w:rPr>
          <w:rFonts w:hint="eastAsia" w:eastAsia="仿宋_GB2312"/>
          <w:kern w:val="0"/>
          <w:sz w:val="32"/>
          <w:szCs w:val="32"/>
        </w:rPr>
        <w:t>被告人</w:t>
      </w:r>
      <w:r>
        <w:rPr>
          <w:rFonts w:eastAsia="仿宋_GB2312"/>
          <w:sz w:val="32"/>
          <w:szCs w:val="32"/>
        </w:rPr>
        <w:t>那仁朝格图，</w:t>
      </w:r>
      <w:r>
        <w:rPr>
          <w:rFonts w:hint="eastAsia" w:eastAsia="仿宋_GB2312"/>
          <w:sz w:val="32"/>
          <w:szCs w:val="32"/>
        </w:rPr>
        <w:t>男，</w:t>
      </w:r>
      <w:r>
        <w:rPr>
          <w:rFonts w:eastAsia="仿宋_GB2312"/>
          <w:sz w:val="32"/>
          <w:szCs w:val="32"/>
        </w:rPr>
        <w:t>1981年12月5日出生，</w:t>
      </w:r>
      <w:r>
        <w:rPr>
          <w:rFonts w:hint="eastAsia" w:eastAsia="仿宋_GB2312"/>
          <w:sz w:val="32"/>
          <w:szCs w:val="32"/>
        </w:rPr>
        <w:t>公民</w:t>
      </w:r>
      <w:r>
        <w:rPr>
          <w:rFonts w:eastAsia="仿宋_GB2312"/>
          <w:sz w:val="32"/>
          <w:szCs w:val="32"/>
        </w:rPr>
        <w:t>身份号码：152325198112053014，蒙古族，初中文化，天津市滨海新区大港油田3号院万达鑫盛办公用品商行法定代表人，户籍地内蒙古</w:t>
      </w:r>
      <w:r>
        <w:rPr>
          <w:rFonts w:hint="eastAsia" w:eastAsia="仿宋_GB2312"/>
          <w:sz w:val="32"/>
          <w:szCs w:val="32"/>
        </w:rPr>
        <w:t>自治区</w:t>
      </w:r>
      <w:r>
        <w:rPr>
          <w:rFonts w:eastAsia="仿宋_GB2312"/>
          <w:sz w:val="32"/>
          <w:szCs w:val="32"/>
        </w:rPr>
        <w:t>库伦旗库伦镇养畜牧东嘎查2组161号，住天津市滨海新区大港3号院钻井新村45-2-401号。2013年12月27日因涉嫌犯有信用卡诈骗罪被取保候审。</w:t>
      </w:r>
    </w:p>
    <w:p>
      <w:pPr>
        <w:widowControl/>
        <w:snapToGrid w:val="0"/>
        <w:spacing w:line="500" w:lineRule="exact"/>
        <w:ind w:firstLine="640" w:firstLineChars="200"/>
        <w:rPr>
          <w:rFonts w:eastAsia="仿宋_GB2312"/>
          <w:kern w:val="0"/>
          <w:sz w:val="32"/>
          <w:szCs w:val="32"/>
        </w:rPr>
      </w:pPr>
      <w:r>
        <w:rPr>
          <w:rFonts w:eastAsia="仿宋_GB2312"/>
          <w:kern w:val="0"/>
          <w:sz w:val="32"/>
          <w:szCs w:val="32"/>
        </w:rPr>
        <w:t>天津市河西区人民检察院以津西检刑诉</w:t>
      </w:r>
      <w:r>
        <w:rPr>
          <w:rFonts w:hint="eastAsia" w:eastAsia="仿宋_GB2312"/>
          <w:kern w:val="0"/>
          <w:sz w:val="32"/>
          <w:szCs w:val="32"/>
        </w:rPr>
        <w:t>[</w:t>
      </w:r>
      <w:r>
        <w:rPr>
          <w:rFonts w:eastAsia="仿宋_GB2312"/>
          <w:kern w:val="0"/>
          <w:sz w:val="32"/>
          <w:szCs w:val="32"/>
        </w:rPr>
        <w:t>2014</w:t>
      </w:r>
      <w:r>
        <w:rPr>
          <w:rFonts w:hint="eastAsia" w:eastAsia="仿宋_GB2312"/>
          <w:kern w:val="0"/>
          <w:sz w:val="32"/>
          <w:szCs w:val="32"/>
        </w:rPr>
        <w:t>]</w:t>
      </w:r>
      <w:r>
        <w:rPr>
          <w:rFonts w:eastAsia="仿宋_GB2312"/>
          <w:kern w:val="0"/>
          <w:sz w:val="32"/>
          <w:szCs w:val="32"/>
        </w:rPr>
        <w:t>130号起诉书指控被告人那仁朝格图犯信用卡诈骗罪，于2014年4月3日向本院提起公诉</w:t>
      </w:r>
      <w:r>
        <w:rPr>
          <w:rFonts w:hint="eastAsia" w:eastAsia="仿宋_GB2312"/>
          <w:kern w:val="0"/>
          <w:sz w:val="32"/>
          <w:szCs w:val="32"/>
        </w:rPr>
        <w:t>，并提出量刑建议</w:t>
      </w:r>
      <w:r>
        <w:rPr>
          <w:rFonts w:eastAsia="仿宋_GB2312"/>
          <w:kern w:val="0"/>
          <w:sz w:val="32"/>
          <w:szCs w:val="32"/>
        </w:rPr>
        <w:t>。本院依法适用简易程序，实行独任审判，公开开庭审理了本案</w:t>
      </w:r>
      <w:r>
        <w:rPr>
          <w:rFonts w:hint="eastAsia" w:eastAsia="仿宋_GB2312"/>
          <w:kern w:val="0"/>
          <w:sz w:val="32"/>
          <w:szCs w:val="32"/>
        </w:rPr>
        <w:t>。天津市河西区人民检察院指派代理检察员高卓见出庭支持公诉，</w:t>
      </w:r>
      <w:r>
        <w:rPr>
          <w:rFonts w:eastAsia="仿宋_GB2312"/>
          <w:kern w:val="0"/>
          <w:sz w:val="32"/>
          <w:szCs w:val="32"/>
        </w:rPr>
        <w:t>被告人那仁朝格图到庭参加了诉讼</w:t>
      </w:r>
      <w:r>
        <w:rPr>
          <w:rFonts w:hint="eastAsia" w:eastAsia="仿宋_GB2312"/>
          <w:kern w:val="0"/>
          <w:sz w:val="32"/>
          <w:szCs w:val="32"/>
        </w:rPr>
        <w:t>。</w:t>
      </w:r>
      <w:r>
        <w:rPr>
          <w:rFonts w:eastAsia="仿宋_GB2312"/>
          <w:kern w:val="0"/>
          <w:sz w:val="32"/>
          <w:szCs w:val="32"/>
        </w:rPr>
        <w:t>现已审理终结。</w:t>
      </w:r>
    </w:p>
    <w:p>
      <w:pPr>
        <w:pStyle w:val="2"/>
        <w:spacing w:line="500" w:lineRule="exact"/>
        <w:ind w:firstLine="640" w:firstLineChars="200"/>
        <w:rPr>
          <w:rFonts w:ascii="Times New Roman" w:hAnsi="Times New Roman"/>
          <w:sz w:val="32"/>
          <w:szCs w:val="32"/>
        </w:rPr>
      </w:pPr>
      <w:r>
        <w:rPr>
          <w:rFonts w:ascii="Times New Roman" w:hAnsi="Times New Roman"/>
          <w:sz w:val="32"/>
          <w:szCs w:val="32"/>
        </w:rPr>
        <w:t>天津市河西区人民检察院指控</w:t>
      </w:r>
      <w:r>
        <w:rPr>
          <w:rFonts w:hint="eastAsia" w:ascii="Times New Roman" w:hAnsi="Times New Roman"/>
          <w:sz w:val="32"/>
          <w:szCs w:val="32"/>
        </w:rPr>
        <w:t>，</w:t>
      </w:r>
      <w:r>
        <w:rPr>
          <w:rFonts w:ascii="Times New Roman" w:hAnsi="Times New Roman"/>
          <w:sz w:val="32"/>
          <w:szCs w:val="32"/>
        </w:rPr>
        <w:t>被告人那仁朝格图于2013年5月21日申领民生银行信用卡</w:t>
      </w:r>
      <w:r>
        <w:rPr>
          <w:rFonts w:hint="eastAsia" w:ascii="Times New Roman" w:hAnsi="Times New Roman"/>
          <w:sz w:val="32"/>
          <w:szCs w:val="32"/>
        </w:rPr>
        <w:t>一张</w:t>
      </w:r>
      <w:r>
        <w:rPr>
          <w:rFonts w:ascii="Times New Roman" w:hAnsi="Times New Roman"/>
          <w:sz w:val="32"/>
          <w:szCs w:val="32"/>
        </w:rPr>
        <w:t>（卡号：6226020123300678），开卡后使用该卡用于个人消费，共计欠款人民币49780元，后经民生银行多次催收</w:t>
      </w:r>
      <w:r>
        <w:rPr>
          <w:rFonts w:hint="eastAsia" w:ascii="Times New Roman" w:hAnsi="Times New Roman"/>
          <w:sz w:val="32"/>
          <w:szCs w:val="32"/>
        </w:rPr>
        <w:t>，</w:t>
      </w:r>
      <w:r>
        <w:rPr>
          <w:rFonts w:ascii="Times New Roman" w:hAnsi="Times New Roman"/>
          <w:sz w:val="32"/>
          <w:szCs w:val="32"/>
        </w:rPr>
        <w:t>逾期3个月后仍拖欠不还。截止到2013年12月27日，该卡共计欠款人民币</w:t>
      </w:r>
      <w:r>
        <w:rPr>
          <w:rFonts w:ascii="Times New Roman" w:hAnsi="Times New Roman"/>
          <w:kern w:val="0"/>
          <w:sz w:val="32"/>
          <w:szCs w:val="32"/>
        </w:rPr>
        <w:t>60287.35</w:t>
      </w:r>
      <w:r>
        <w:rPr>
          <w:rFonts w:ascii="Times New Roman" w:hAnsi="Times New Roman"/>
          <w:sz w:val="32"/>
          <w:szCs w:val="32"/>
        </w:rPr>
        <w:t>元，其中本金人民币</w:t>
      </w:r>
      <w:r>
        <w:rPr>
          <w:rFonts w:ascii="Times New Roman" w:hAnsi="Times New Roman"/>
          <w:kern w:val="0"/>
          <w:sz w:val="32"/>
          <w:szCs w:val="32"/>
        </w:rPr>
        <w:t>49780</w:t>
      </w:r>
      <w:r>
        <w:rPr>
          <w:rFonts w:ascii="Times New Roman" w:hAnsi="Times New Roman"/>
          <w:sz w:val="32"/>
          <w:szCs w:val="32"/>
        </w:rPr>
        <w:t>元。2013年12月27日</w:t>
      </w:r>
      <w:r>
        <w:rPr>
          <w:rFonts w:hint="eastAsia" w:ascii="Times New Roman" w:hAnsi="Times New Roman"/>
          <w:sz w:val="32"/>
          <w:szCs w:val="32"/>
        </w:rPr>
        <w:t>，</w:t>
      </w:r>
      <w:r>
        <w:rPr>
          <w:rFonts w:ascii="Times New Roman" w:hAnsi="Times New Roman"/>
          <w:sz w:val="32"/>
          <w:szCs w:val="32"/>
        </w:rPr>
        <w:t>被告人那仁朝格图到公安机关投案。</w:t>
      </w:r>
    </w:p>
    <w:p>
      <w:pPr>
        <w:spacing w:line="500" w:lineRule="exact"/>
        <w:ind w:firstLine="800" w:firstLineChars="250"/>
        <w:rPr>
          <w:rFonts w:eastAsia="仿宋_GB2312"/>
          <w:sz w:val="32"/>
          <w:szCs w:val="32"/>
        </w:rPr>
      </w:pPr>
      <w:r>
        <w:rPr>
          <w:rFonts w:eastAsia="仿宋_GB2312"/>
          <w:sz w:val="32"/>
          <w:szCs w:val="32"/>
        </w:rPr>
        <w:t>案发后，被告人那仁朝格图已偿还该卡全部欠款。</w:t>
      </w:r>
    </w:p>
    <w:p>
      <w:pPr>
        <w:spacing w:line="500" w:lineRule="exact"/>
        <w:ind w:left="178" w:leftChars="85" w:firstLine="576" w:firstLineChars="180"/>
        <w:rPr>
          <w:rFonts w:eastAsia="仿宋_GB2312"/>
          <w:kern w:val="0"/>
          <w:sz w:val="32"/>
          <w:szCs w:val="32"/>
        </w:rPr>
      </w:pPr>
      <w:r>
        <w:rPr>
          <w:rFonts w:eastAsia="仿宋_GB2312"/>
          <w:kern w:val="0"/>
          <w:sz w:val="32"/>
          <w:szCs w:val="32"/>
        </w:rPr>
        <w:t>上述事实，被告人</w:t>
      </w:r>
      <w:r>
        <w:rPr>
          <w:rFonts w:eastAsia="仿宋_GB2312"/>
          <w:sz w:val="32"/>
          <w:szCs w:val="32"/>
        </w:rPr>
        <w:t>那仁朝格图</w:t>
      </w:r>
      <w:r>
        <w:rPr>
          <w:rFonts w:eastAsia="仿宋_GB2312"/>
          <w:kern w:val="0"/>
          <w:sz w:val="32"/>
          <w:szCs w:val="32"/>
        </w:rPr>
        <w:t>在开庭审理过程中亦无异议，表示认罪。并有被害单位委托人</w:t>
      </w:r>
      <w:r>
        <w:rPr>
          <w:rFonts w:hint="eastAsia" w:eastAsia="仿宋_GB2312"/>
          <w:kern w:val="0"/>
          <w:sz w:val="32"/>
          <w:szCs w:val="32"/>
        </w:rPr>
        <w:t>王某</w:t>
      </w:r>
      <w:r>
        <w:rPr>
          <w:rFonts w:eastAsia="仿宋_GB2312"/>
          <w:kern w:val="0"/>
          <w:sz w:val="32"/>
          <w:szCs w:val="32"/>
        </w:rPr>
        <w:t>证言</w:t>
      </w:r>
      <w:r>
        <w:rPr>
          <w:rFonts w:hint="eastAsia" w:eastAsia="仿宋_GB2312"/>
          <w:kern w:val="0"/>
          <w:sz w:val="32"/>
          <w:szCs w:val="32"/>
        </w:rPr>
        <w:t>，</w:t>
      </w:r>
      <w:r>
        <w:rPr>
          <w:rFonts w:eastAsia="仿宋_GB2312"/>
          <w:kern w:val="0"/>
          <w:sz w:val="32"/>
          <w:szCs w:val="32"/>
        </w:rPr>
        <w:t>公安机关出具民生银行信用卡交易查询资料、被告人申领信用卡申请表及民生银行催收欠款记录及退交本息收据等相关书证材料</w:t>
      </w:r>
      <w:r>
        <w:rPr>
          <w:rFonts w:hint="eastAsia" w:eastAsia="仿宋_GB2312"/>
          <w:kern w:val="0"/>
          <w:sz w:val="32"/>
          <w:szCs w:val="32"/>
        </w:rPr>
        <w:t>，</w:t>
      </w:r>
      <w:r>
        <w:rPr>
          <w:rFonts w:eastAsia="仿宋_GB2312"/>
          <w:kern w:val="0"/>
          <w:sz w:val="32"/>
          <w:szCs w:val="32"/>
        </w:rPr>
        <w:t>案件来源、抓获经过等证据证实，足以认定。</w:t>
      </w:r>
    </w:p>
    <w:p>
      <w:pPr>
        <w:widowControl/>
        <w:snapToGrid w:val="0"/>
        <w:spacing w:line="500" w:lineRule="exact"/>
        <w:ind w:left="178" w:leftChars="85" w:firstLine="600"/>
        <w:rPr>
          <w:rFonts w:eastAsia="仿宋_GB2312"/>
          <w:kern w:val="0"/>
          <w:sz w:val="32"/>
          <w:szCs w:val="32"/>
        </w:rPr>
      </w:pPr>
      <w:r>
        <w:rPr>
          <w:rFonts w:eastAsia="仿宋_GB2312"/>
          <w:kern w:val="0"/>
          <w:sz w:val="32"/>
          <w:szCs w:val="32"/>
        </w:rPr>
        <w:t>本院认为，被告人</w:t>
      </w:r>
      <w:r>
        <w:rPr>
          <w:rFonts w:eastAsia="仿宋_GB2312"/>
          <w:sz w:val="32"/>
          <w:szCs w:val="32"/>
        </w:rPr>
        <w:t>那仁朝格图</w:t>
      </w:r>
      <w:r>
        <w:rPr>
          <w:rFonts w:eastAsia="仿宋_GB2312"/>
          <w:kern w:val="0"/>
          <w:sz w:val="32"/>
          <w:szCs w:val="32"/>
        </w:rPr>
        <w:t>目无国家法律，以非法占有为目的，利用信用卡恶意透支人民币49780元，数额较大，经发卡行多次催收，拒不归还，其行为已构成信用卡诈骗罪。被告人</w:t>
      </w:r>
      <w:r>
        <w:rPr>
          <w:rFonts w:eastAsia="仿宋_GB2312"/>
          <w:sz w:val="32"/>
          <w:szCs w:val="32"/>
        </w:rPr>
        <w:t>那仁朝格图</w:t>
      </w:r>
      <w:r>
        <w:rPr>
          <w:rFonts w:eastAsia="仿宋_GB2312"/>
          <w:kern w:val="0"/>
          <w:sz w:val="32"/>
          <w:szCs w:val="32"/>
        </w:rPr>
        <w:t>案发后，主动到公安机关投案，并如实供述犯罪行为，</w:t>
      </w:r>
      <w:r>
        <w:rPr>
          <w:rFonts w:hint="eastAsia" w:eastAsia="仿宋_GB2312"/>
          <w:kern w:val="0"/>
          <w:sz w:val="32"/>
          <w:szCs w:val="32"/>
        </w:rPr>
        <w:t>是</w:t>
      </w:r>
      <w:r>
        <w:rPr>
          <w:rFonts w:eastAsia="仿宋_GB2312"/>
          <w:kern w:val="0"/>
          <w:sz w:val="32"/>
          <w:szCs w:val="32"/>
        </w:rPr>
        <w:t>自首，依法可从轻处罚。为严肃国家法律，保护</w:t>
      </w:r>
      <w:r>
        <w:rPr>
          <w:rFonts w:hint="eastAsia" w:eastAsia="仿宋_GB2312"/>
          <w:kern w:val="0"/>
          <w:sz w:val="32"/>
          <w:szCs w:val="32"/>
        </w:rPr>
        <w:t>公私</w:t>
      </w:r>
      <w:r>
        <w:rPr>
          <w:rFonts w:eastAsia="仿宋_GB2312"/>
          <w:kern w:val="0"/>
          <w:sz w:val="32"/>
          <w:szCs w:val="32"/>
        </w:rPr>
        <w:t>财产</w:t>
      </w:r>
      <w:r>
        <w:rPr>
          <w:rFonts w:hint="eastAsia" w:eastAsia="仿宋_GB2312"/>
          <w:kern w:val="0"/>
          <w:sz w:val="32"/>
          <w:szCs w:val="32"/>
        </w:rPr>
        <w:t>权利</w:t>
      </w:r>
      <w:r>
        <w:rPr>
          <w:rFonts w:eastAsia="仿宋_GB2312"/>
          <w:kern w:val="0"/>
          <w:sz w:val="32"/>
          <w:szCs w:val="32"/>
        </w:rPr>
        <w:t>不受侵犯。同时考虑被告人</w:t>
      </w:r>
      <w:r>
        <w:rPr>
          <w:rFonts w:eastAsia="仿宋_GB2312"/>
          <w:sz w:val="32"/>
          <w:szCs w:val="32"/>
        </w:rPr>
        <w:t>那仁朝格图</w:t>
      </w:r>
      <w:r>
        <w:rPr>
          <w:rFonts w:eastAsia="仿宋_GB2312"/>
          <w:kern w:val="0"/>
          <w:sz w:val="32"/>
          <w:szCs w:val="32"/>
        </w:rPr>
        <w:t>认罪态度较好，能积极退缴全部透支款项，具有悔罪表现之情节，依照《中华人民共和国刑法》第一百九十六条第一款</w:t>
      </w:r>
      <w:r>
        <w:rPr>
          <w:rFonts w:hint="eastAsia" w:eastAsia="仿宋_GB2312"/>
          <w:kern w:val="0"/>
          <w:sz w:val="32"/>
          <w:szCs w:val="32"/>
        </w:rPr>
        <w:t>第（四）项</w:t>
      </w:r>
      <w:r>
        <w:rPr>
          <w:rFonts w:eastAsia="仿宋_GB2312"/>
          <w:kern w:val="0"/>
          <w:sz w:val="32"/>
          <w:szCs w:val="32"/>
        </w:rPr>
        <w:t>、第二款、第六十七条第一款、第七十二条</w:t>
      </w:r>
      <w:r>
        <w:rPr>
          <w:rFonts w:hint="eastAsia" w:eastAsia="仿宋_GB2312"/>
          <w:kern w:val="0"/>
          <w:sz w:val="32"/>
          <w:szCs w:val="32"/>
        </w:rPr>
        <w:t>第一款、第三款</w:t>
      </w:r>
      <w:r>
        <w:rPr>
          <w:rFonts w:eastAsia="仿宋_GB2312"/>
          <w:kern w:val="0"/>
          <w:sz w:val="32"/>
          <w:szCs w:val="32"/>
        </w:rPr>
        <w:t xml:space="preserve">、第七十三条第二款、第三款、第七十五条、第七十六条之规定，判决如下：  </w:t>
      </w:r>
    </w:p>
    <w:p>
      <w:pPr>
        <w:widowControl/>
        <w:snapToGrid w:val="0"/>
        <w:spacing w:line="500" w:lineRule="exact"/>
        <w:ind w:left="178" w:leftChars="85" w:firstLine="600"/>
        <w:rPr>
          <w:rFonts w:eastAsia="仿宋_GB2312"/>
          <w:kern w:val="0"/>
          <w:sz w:val="32"/>
          <w:szCs w:val="32"/>
        </w:rPr>
      </w:pPr>
      <w:r>
        <w:rPr>
          <w:rFonts w:eastAsia="仿宋_GB2312"/>
          <w:kern w:val="0"/>
          <w:sz w:val="32"/>
          <w:szCs w:val="32"/>
        </w:rPr>
        <w:t>被告人</w:t>
      </w:r>
      <w:r>
        <w:rPr>
          <w:rFonts w:eastAsia="仿宋_GB2312"/>
          <w:sz w:val="32"/>
          <w:szCs w:val="32"/>
        </w:rPr>
        <w:t>那仁朝格图</w:t>
      </w:r>
      <w:r>
        <w:rPr>
          <w:rFonts w:eastAsia="仿宋_GB2312"/>
          <w:kern w:val="0"/>
          <w:sz w:val="32"/>
          <w:szCs w:val="32"/>
        </w:rPr>
        <w:t>犯信用卡诈骗罪，判处有期徒刑一年</w:t>
      </w:r>
      <w:r>
        <w:rPr>
          <w:rFonts w:hint="eastAsia" w:eastAsia="仿宋_GB2312"/>
          <w:kern w:val="0"/>
          <w:sz w:val="32"/>
          <w:szCs w:val="32"/>
        </w:rPr>
        <w:t>，</w:t>
      </w:r>
      <w:r>
        <w:rPr>
          <w:rFonts w:eastAsia="仿宋_GB2312"/>
          <w:kern w:val="0"/>
          <w:sz w:val="32"/>
          <w:szCs w:val="32"/>
        </w:rPr>
        <w:t>缓刑一年，罚金人民币30000元。在（刑罚）执行期间，被告人</w:t>
      </w:r>
      <w:r>
        <w:rPr>
          <w:rFonts w:eastAsia="仿宋_GB2312"/>
          <w:sz w:val="32"/>
          <w:szCs w:val="32"/>
        </w:rPr>
        <w:t>那仁朝格图</w:t>
      </w:r>
      <w:r>
        <w:rPr>
          <w:rFonts w:eastAsia="仿宋_GB2312"/>
          <w:kern w:val="0"/>
          <w:sz w:val="32"/>
          <w:szCs w:val="32"/>
        </w:rPr>
        <w:t>应当</w:t>
      </w:r>
      <w:r>
        <w:rPr>
          <w:rFonts w:hint="eastAsia" w:eastAsia="仿宋_GB2312"/>
          <w:kern w:val="0"/>
          <w:sz w:val="32"/>
          <w:szCs w:val="32"/>
        </w:rPr>
        <w:t>接受</w:t>
      </w:r>
      <w:r>
        <w:rPr>
          <w:rFonts w:eastAsia="仿宋_GB2312"/>
          <w:kern w:val="0"/>
          <w:sz w:val="32"/>
          <w:szCs w:val="32"/>
        </w:rPr>
        <w:t>相关组织</w:t>
      </w:r>
      <w:r>
        <w:rPr>
          <w:rFonts w:hint="eastAsia" w:eastAsia="仿宋_GB2312"/>
          <w:kern w:val="0"/>
          <w:sz w:val="32"/>
          <w:szCs w:val="32"/>
        </w:rPr>
        <w:t>的</w:t>
      </w:r>
      <w:r>
        <w:rPr>
          <w:rFonts w:eastAsia="仿宋_GB2312"/>
          <w:kern w:val="0"/>
          <w:sz w:val="32"/>
          <w:szCs w:val="32"/>
        </w:rPr>
        <w:t>社区矫正。</w:t>
      </w:r>
    </w:p>
    <w:p>
      <w:pPr>
        <w:widowControl/>
        <w:snapToGrid w:val="0"/>
        <w:spacing w:line="500" w:lineRule="exact"/>
        <w:ind w:firstLine="640" w:firstLineChars="200"/>
        <w:rPr>
          <w:rFonts w:eastAsia="仿宋_GB2312"/>
          <w:kern w:val="0"/>
          <w:sz w:val="32"/>
          <w:szCs w:val="32"/>
        </w:rPr>
      </w:pPr>
      <w:r>
        <w:rPr>
          <w:rFonts w:eastAsia="仿宋_GB2312"/>
          <w:kern w:val="0"/>
          <w:sz w:val="32"/>
          <w:szCs w:val="32"/>
        </w:rPr>
        <w:t>（缓刑考验期限，从判决确定之日起计算</w:t>
      </w:r>
      <w:r>
        <w:rPr>
          <w:rFonts w:hint="eastAsia" w:eastAsia="仿宋_GB2312"/>
          <w:kern w:val="0"/>
          <w:sz w:val="32"/>
          <w:szCs w:val="32"/>
        </w:rPr>
        <w:t>。</w:t>
      </w:r>
      <w:r>
        <w:rPr>
          <w:rFonts w:eastAsia="仿宋_GB2312"/>
          <w:kern w:val="0"/>
          <w:sz w:val="32"/>
          <w:szCs w:val="32"/>
        </w:rPr>
        <w:t>）</w:t>
      </w:r>
    </w:p>
    <w:p>
      <w:pPr>
        <w:widowControl/>
        <w:snapToGrid w:val="0"/>
        <w:spacing w:line="500" w:lineRule="exact"/>
        <w:ind w:firstLine="600"/>
        <w:rPr>
          <w:rFonts w:eastAsia="仿宋_GB2312"/>
          <w:kern w:val="0"/>
          <w:sz w:val="32"/>
          <w:szCs w:val="32"/>
        </w:rPr>
      </w:pPr>
      <w:r>
        <w:rPr>
          <w:rFonts w:eastAsia="仿宋_GB2312"/>
          <w:kern w:val="0"/>
          <w:sz w:val="32"/>
          <w:szCs w:val="32"/>
        </w:rPr>
        <w:t>如不服本判决，可在接到判决书的第二日起十日内，通过本院或者直接向天津市第二中级人民法院提出上诉。书面上诉的，应交上诉状正本一份，副本两份。</w:t>
      </w:r>
    </w:p>
    <w:p>
      <w:pPr>
        <w:widowControl/>
        <w:snapToGrid w:val="0"/>
        <w:spacing w:line="500" w:lineRule="exact"/>
        <w:ind w:firstLine="600"/>
        <w:rPr>
          <w:rFonts w:eastAsia="仿宋_GB2312"/>
          <w:kern w:val="0"/>
          <w:sz w:val="32"/>
          <w:szCs w:val="32"/>
        </w:rPr>
      </w:pPr>
    </w:p>
    <w:p>
      <w:pPr>
        <w:widowControl/>
        <w:snapToGrid w:val="0"/>
        <w:spacing w:line="500" w:lineRule="exact"/>
        <w:ind w:firstLine="600"/>
        <w:jc w:val="right"/>
        <w:rPr>
          <w:rFonts w:hint="eastAsia" w:eastAsia="仿宋_GB2312"/>
          <w:kern w:val="0"/>
          <w:sz w:val="32"/>
          <w:szCs w:val="32"/>
        </w:rPr>
      </w:pPr>
    </w:p>
    <w:p>
      <w:pPr>
        <w:widowControl/>
        <w:snapToGrid w:val="0"/>
        <w:spacing w:line="500" w:lineRule="exact"/>
        <w:ind w:firstLine="600"/>
        <w:jc w:val="right"/>
        <w:rPr>
          <w:rFonts w:hint="eastAsia" w:eastAsia="仿宋_GB2312"/>
          <w:kern w:val="0"/>
          <w:sz w:val="32"/>
          <w:szCs w:val="32"/>
        </w:rPr>
      </w:pPr>
    </w:p>
    <w:p>
      <w:pPr>
        <w:spacing w:line="500" w:lineRule="exact"/>
        <w:ind w:right="32"/>
        <w:rPr>
          <w:rFonts w:hint="eastAsia" w:eastAsia="仿宋_GB2312"/>
          <w:sz w:val="32"/>
          <w:szCs w:val="32"/>
        </w:rPr>
      </w:pPr>
    </w:p>
    <w:p>
      <w:pPr>
        <w:spacing w:line="500" w:lineRule="exact"/>
        <w:ind w:right="32"/>
        <w:rPr>
          <w:rFonts w:hint="eastAsia" w:eastAsia="仿宋_GB2312"/>
          <w:sz w:val="32"/>
          <w:szCs w:val="32"/>
        </w:rPr>
      </w:pPr>
      <w:r>
        <w:rPr>
          <w:rFonts w:hint="eastAsia" w:eastAsia="仿宋_GB2312"/>
          <w:sz w:val="32"/>
          <w:szCs w:val="32"/>
        </w:rPr>
        <w:t>&lt;此页无正文&gt;</w:t>
      </w:r>
    </w:p>
    <w:p>
      <w:pPr>
        <w:spacing w:line="500" w:lineRule="exact"/>
        <w:ind w:right="32"/>
        <w:rPr>
          <w:rFonts w:hint="eastAsia" w:eastAsia="仿宋_GB2312"/>
          <w:sz w:val="32"/>
          <w:szCs w:val="32"/>
        </w:rPr>
      </w:pPr>
    </w:p>
    <w:p>
      <w:pPr>
        <w:spacing w:line="500" w:lineRule="exact"/>
        <w:ind w:right="32"/>
        <w:rPr>
          <w:rFonts w:hint="eastAsia" w:eastAsia="仿宋_GB2312"/>
          <w:sz w:val="32"/>
          <w:szCs w:val="32"/>
        </w:rPr>
      </w:pPr>
    </w:p>
    <w:p>
      <w:pPr>
        <w:spacing w:line="500" w:lineRule="exact"/>
        <w:ind w:right="32"/>
        <w:rPr>
          <w:rFonts w:hint="eastAsia" w:eastAsia="仿宋_GB2312"/>
          <w:sz w:val="32"/>
          <w:szCs w:val="32"/>
        </w:rPr>
      </w:pPr>
    </w:p>
    <w:p>
      <w:pPr>
        <w:spacing w:line="500" w:lineRule="exact"/>
        <w:ind w:right="32" w:firstLine="5219" w:firstLineChars="1631"/>
        <w:jc w:val="right"/>
        <w:rPr>
          <w:rFonts w:eastAsia="仿宋_GB2312"/>
          <w:sz w:val="32"/>
          <w:szCs w:val="32"/>
        </w:rPr>
      </w:pPr>
      <w:r>
        <w:rPr>
          <w:rFonts w:eastAsia="仿宋_GB2312"/>
          <w:sz w:val="32"/>
          <w:szCs w:val="32"/>
        </w:rPr>
        <w:t>审  判  员   闫  清</w:t>
      </w:r>
    </w:p>
    <w:p>
      <w:pPr>
        <w:spacing w:line="500" w:lineRule="exact"/>
        <w:ind w:firstLine="4480" w:firstLineChars="1400"/>
        <w:jc w:val="right"/>
        <w:rPr>
          <w:rFonts w:eastAsia="仿宋_GB2312"/>
          <w:sz w:val="32"/>
          <w:szCs w:val="32"/>
        </w:rPr>
      </w:pPr>
    </w:p>
    <w:p>
      <w:pPr>
        <w:wordWrap w:val="0"/>
        <w:spacing w:line="500" w:lineRule="exact"/>
        <w:ind w:left="525" w:leftChars="250" w:firstLine="4160" w:firstLineChars="1300"/>
        <w:jc w:val="right"/>
        <w:rPr>
          <w:rFonts w:eastAsia="仿宋_GB2312"/>
          <w:sz w:val="32"/>
          <w:szCs w:val="32"/>
        </w:rPr>
      </w:pPr>
      <w:r>
        <w:rPr>
          <w:rFonts w:eastAsia="仿宋_GB2312"/>
          <w:sz w:val="32"/>
          <w:szCs w:val="32"/>
        </w:rPr>
        <w:t>二</w:t>
      </w:r>
      <w:r>
        <w:rPr>
          <w:rFonts w:hAnsi="宋体"/>
          <w:sz w:val="32"/>
          <w:szCs w:val="32"/>
        </w:rPr>
        <w:t>〇</w:t>
      </w:r>
      <w:r>
        <w:rPr>
          <w:rFonts w:eastAsia="仿宋_GB2312"/>
          <w:sz w:val="32"/>
          <w:szCs w:val="32"/>
        </w:rPr>
        <w:t>一四年四月</w:t>
      </w:r>
      <w:r>
        <w:rPr>
          <w:rFonts w:hint="eastAsia" w:eastAsia="仿宋_GB2312"/>
          <w:sz w:val="32"/>
          <w:szCs w:val="32"/>
        </w:rPr>
        <w:t>二十三</w:t>
      </w:r>
      <w:r>
        <w:rPr>
          <w:rFonts w:eastAsia="仿宋_GB2312"/>
          <w:sz w:val="32"/>
          <w:szCs w:val="32"/>
        </w:rPr>
        <w:t>日</w:t>
      </w:r>
    </w:p>
    <w:p>
      <w:pPr>
        <w:spacing w:line="500" w:lineRule="exact"/>
        <w:ind w:left="525" w:leftChars="250" w:firstLine="4160" w:firstLineChars="1300"/>
        <w:jc w:val="right"/>
        <w:rPr>
          <w:rFonts w:eastAsia="仿宋_GB2312"/>
          <w:sz w:val="32"/>
          <w:szCs w:val="32"/>
        </w:rPr>
      </w:pPr>
    </w:p>
    <w:p>
      <w:pPr>
        <w:wordWrap w:val="0"/>
        <w:spacing w:line="500" w:lineRule="exact"/>
        <w:ind w:firstLine="4480" w:firstLineChars="1400"/>
        <w:jc w:val="right"/>
        <w:rPr>
          <w:rFonts w:eastAsia="仿宋_GB2312"/>
          <w:sz w:val="32"/>
          <w:szCs w:val="32"/>
        </w:rPr>
      </w:pPr>
      <w:r>
        <w:rPr>
          <w:rFonts w:eastAsia="仿宋_GB2312"/>
          <w:sz w:val="32"/>
          <w:szCs w:val="32"/>
        </w:rPr>
        <w:t>书  记  员   马为一</w:t>
      </w:r>
    </w:p>
    <w:p>
      <w:pPr>
        <w:wordWrap w:val="0"/>
        <w:spacing w:line="500" w:lineRule="exact"/>
        <w:ind w:firstLine="4483" w:firstLineChars="1401"/>
        <w:jc w:val="right"/>
        <w:rPr>
          <w:rFonts w:eastAsia="仿宋_GB2312"/>
          <w:sz w:val="32"/>
          <w:szCs w:val="32"/>
        </w:rPr>
      </w:pPr>
      <w:r>
        <w:rPr>
          <w:rFonts w:eastAsia="仿宋_GB2312"/>
          <w:sz w:val="32"/>
          <w:szCs w:val="32"/>
        </w:rPr>
        <w:t>速  录  员   王  欣</w:t>
      </w:r>
    </w:p>
    <w:p>
      <w:pPr>
        <w:widowControl/>
        <w:snapToGrid w:val="0"/>
        <w:spacing w:line="500" w:lineRule="exact"/>
        <w:rPr>
          <w:rFonts w:eastAsia="仿宋_GB2312"/>
        </w:rPr>
      </w:pPr>
    </w:p>
    <w:p>
      <w:pPr>
        <w:spacing w:line="500" w:lineRule="exact"/>
        <w:rPr>
          <w:rFonts w:hint="eastAsia" w:eastAsia="仿宋_GB2312"/>
          <w:sz w:val="32"/>
        </w:rPr>
      </w:pPr>
    </w:p>
    <w:p>
      <w:pPr>
        <w:spacing w:line="500" w:lineRule="exact"/>
        <w:rPr>
          <w:rFonts w:hint="eastAsia" w:eastAsia="仿宋_GB2312"/>
          <w:sz w:val="32"/>
        </w:rPr>
      </w:pPr>
    </w:p>
    <w:p>
      <w:pPr>
        <w:spacing w:line="500" w:lineRule="exact"/>
        <w:rPr>
          <w:rFonts w:ascii="仿宋_GB2312" w:eastAsia="仿宋_GB2312"/>
          <w:sz w:val="32"/>
        </w:rPr>
      </w:pPr>
      <w:r>
        <w:rPr>
          <w:rFonts w:hint="eastAsia" w:ascii="仿宋_GB2312" w:eastAsia="仿宋_GB2312"/>
          <w:sz w:val="32"/>
        </w:rPr>
        <w:t>附：</w:t>
      </w:r>
      <w:r>
        <w:rPr>
          <w:rFonts w:ascii="仿宋_GB2312" w:eastAsia="仿宋_GB2312"/>
          <w:sz w:val="32"/>
        </w:rPr>
        <w:t>本案引用的法律条文</w:t>
      </w:r>
    </w:p>
    <w:p>
      <w:pPr>
        <w:spacing w:line="500" w:lineRule="exact"/>
        <w:ind w:firstLine="640" w:firstLineChars="200"/>
        <w:rPr>
          <w:rFonts w:hint="eastAsia" w:ascii="仿宋_GB2312" w:eastAsia="仿宋_GB2312"/>
          <w:sz w:val="32"/>
        </w:rPr>
      </w:pPr>
      <w:r>
        <w:rPr>
          <w:rFonts w:hint="eastAsia" w:ascii="仿宋_GB2312" w:eastAsia="仿宋_GB2312"/>
          <w:sz w:val="32"/>
        </w:rPr>
        <w:t>《中华人民共和国刑法》</w:t>
      </w:r>
    </w:p>
    <w:p>
      <w:pPr>
        <w:spacing w:line="500" w:lineRule="exact"/>
        <w:ind w:firstLine="640" w:firstLineChars="200"/>
        <w:rPr>
          <w:rFonts w:hint="eastAsia" w:ascii="仿宋_GB2312" w:eastAsia="仿宋_GB2312"/>
          <w:sz w:val="32"/>
        </w:rPr>
      </w:pPr>
      <w:r>
        <w:rPr>
          <w:rFonts w:hint="eastAsia" w:ascii="仿宋_GB2312" w:eastAsia="仿宋_GB2312"/>
          <w:sz w:val="32"/>
        </w:rPr>
        <w:t>第一百九十六条第一款</w:t>
      </w:r>
      <w:r>
        <w:rPr>
          <w:rFonts w:eastAsia="仿宋_GB2312"/>
          <w:kern w:val="0"/>
          <w:sz w:val="32"/>
          <w:szCs w:val="32"/>
        </w:rPr>
        <w:t>第（四）项</w:t>
      </w:r>
      <w:r>
        <w:rPr>
          <w:rFonts w:hint="eastAsia" w:ascii="仿宋_GB2312" w:eastAsia="仿宋_GB2312"/>
          <w:sz w:val="32"/>
        </w:rPr>
        <w:t xml:space="preserve">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00" w:lineRule="exact"/>
        <w:ind w:firstLine="640" w:firstLineChars="200"/>
        <w:rPr>
          <w:rFonts w:hint="eastAsia" w:ascii="仿宋_GB2312" w:eastAsia="仿宋_GB2312"/>
          <w:sz w:val="32"/>
        </w:rPr>
      </w:pPr>
      <w:r>
        <w:rPr>
          <w:rFonts w:hint="eastAsia" w:ascii="仿宋_GB2312" w:eastAsia="仿宋_GB2312"/>
          <w:sz w:val="32"/>
        </w:rPr>
        <w:t>（四）恶意透支的。</w:t>
      </w:r>
    </w:p>
    <w:p>
      <w:pPr>
        <w:spacing w:line="500" w:lineRule="exact"/>
        <w:ind w:firstLine="640" w:firstLineChars="200"/>
        <w:rPr>
          <w:rFonts w:hint="eastAsia" w:ascii="仿宋_GB2312" w:eastAsia="仿宋_GB2312"/>
          <w:sz w:val="32"/>
        </w:rPr>
      </w:pPr>
      <w:r>
        <w:rPr>
          <w:rFonts w:hint="eastAsia" w:ascii="仿宋_GB2312" w:eastAsia="仿宋_GB2312"/>
          <w:sz w:val="32"/>
        </w:rPr>
        <w:t>第一百九十六条第二款   前款所称恶意透支，是指持卡人以非法占有为目的，超过规定限额或者规定期限透支，并且经发卡银行催收后仍不归还的行为。</w:t>
      </w:r>
    </w:p>
    <w:p>
      <w:pPr>
        <w:spacing w:line="500" w:lineRule="exact"/>
        <w:ind w:firstLine="640" w:firstLineChars="200"/>
        <w:rPr>
          <w:rFonts w:hint="eastAsia" w:ascii="仿宋_GB2312" w:eastAsia="仿宋_GB2312"/>
          <w:sz w:val="32"/>
        </w:rPr>
      </w:pPr>
      <w:r>
        <w:rPr>
          <w:rFonts w:hint="eastAsia" w:ascii="仿宋_GB2312" w:eastAsia="仿宋_GB2312"/>
          <w:sz w:val="32"/>
        </w:rPr>
        <w:t>第六十七条第一款   犯罪以后自动投案，如实供述自己的罪行的，是自首。对于自首的犯罪分子，可以从轻或者减轻处罚。其中，犯罪较轻的，可以免除处罚。</w:t>
      </w:r>
    </w:p>
    <w:p>
      <w:pPr>
        <w:spacing w:line="500" w:lineRule="exact"/>
        <w:ind w:firstLine="640" w:firstLineChars="200"/>
        <w:rPr>
          <w:rFonts w:hint="eastAsia" w:ascii="仿宋_GB2312" w:eastAsia="仿宋_GB2312"/>
          <w:sz w:val="32"/>
        </w:rPr>
      </w:pPr>
      <w:r>
        <w:rPr>
          <w:rFonts w:hint="eastAsia" w:ascii="仿宋_GB2312" w:eastAsia="仿宋_GB2312"/>
          <w:sz w:val="32"/>
        </w:rPr>
        <w:t>第七十二条第一款   对于被判处拘役、三年以下有期徒刑的犯罪分子，同时符合下列条件的，可以宣告缓刑，对其中不满十八周岁的人、怀孕的妇女和已满七十五周岁的人，应当宣告缓刑：</w:t>
      </w:r>
    </w:p>
    <w:p>
      <w:pPr>
        <w:spacing w:line="500" w:lineRule="exact"/>
        <w:ind w:firstLine="640" w:firstLineChars="200"/>
        <w:rPr>
          <w:rFonts w:hint="eastAsia" w:ascii="仿宋_GB2312" w:eastAsia="仿宋_GB2312"/>
          <w:sz w:val="32"/>
        </w:rPr>
      </w:pPr>
      <w:r>
        <w:rPr>
          <w:rFonts w:hint="eastAsia" w:ascii="仿宋_GB2312" w:eastAsia="仿宋_GB2312"/>
          <w:sz w:val="32"/>
        </w:rPr>
        <w:t>（一）犯罪情节较轻；</w:t>
      </w:r>
    </w:p>
    <w:p>
      <w:pPr>
        <w:spacing w:line="500" w:lineRule="exact"/>
        <w:ind w:firstLine="640" w:firstLineChars="200"/>
        <w:rPr>
          <w:rFonts w:hint="eastAsia" w:ascii="仿宋_GB2312" w:eastAsia="仿宋_GB2312"/>
          <w:sz w:val="32"/>
        </w:rPr>
      </w:pPr>
      <w:r>
        <w:rPr>
          <w:rFonts w:hint="eastAsia" w:ascii="仿宋_GB2312" w:eastAsia="仿宋_GB2312"/>
          <w:sz w:val="32"/>
        </w:rPr>
        <w:t>（二）有悔罪表现；</w:t>
      </w:r>
    </w:p>
    <w:p>
      <w:pPr>
        <w:spacing w:line="500" w:lineRule="exact"/>
        <w:ind w:firstLine="640" w:firstLineChars="200"/>
        <w:rPr>
          <w:rFonts w:hint="eastAsia" w:ascii="仿宋_GB2312" w:eastAsia="仿宋_GB2312"/>
          <w:sz w:val="32"/>
        </w:rPr>
      </w:pPr>
      <w:r>
        <w:rPr>
          <w:rFonts w:hint="eastAsia" w:ascii="仿宋_GB2312" w:eastAsia="仿宋_GB2312"/>
          <w:sz w:val="32"/>
        </w:rPr>
        <w:t>（三）没有再犯罪的危险；</w:t>
      </w:r>
    </w:p>
    <w:p>
      <w:pPr>
        <w:spacing w:line="500" w:lineRule="exact"/>
        <w:ind w:firstLine="640" w:firstLineChars="200"/>
        <w:rPr>
          <w:rFonts w:hint="eastAsia" w:ascii="仿宋_GB2312" w:eastAsia="仿宋_GB2312"/>
          <w:sz w:val="32"/>
        </w:rPr>
      </w:pPr>
      <w:r>
        <w:rPr>
          <w:rFonts w:hint="eastAsia" w:ascii="仿宋_GB2312" w:eastAsia="仿宋_GB2312"/>
          <w:sz w:val="32"/>
        </w:rPr>
        <w:t>（四）宣告缓刑对所居住社区没有重大不良影响。</w:t>
      </w:r>
    </w:p>
    <w:p>
      <w:pPr>
        <w:spacing w:line="500" w:lineRule="exact"/>
        <w:ind w:firstLine="640" w:firstLineChars="200"/>
        <w:rPr>
          <w:rFonts w:hint="eastAsia" w:ascii="仿宋_GB2312" w:eastAsia="仿宋_GB2312"/>
          <w:sz w:val="32"/>
        </w:rPr>
      </w:pPr>
      <w:r>
        <w:rPr>
          <w:rFonts w:hint="eastAsia" w:ascii="仿宋_GB2312" w:eastAsia="仿宋_GB2312"/>
          <w:sz w:val="32"/>
        </w:rPr>
        <w:t>第七十二条第三款   被宣告缓刑的犯罪分子，如果被判处附加刑，附加刑仍须执行。</w:t>
      </w:r>
    </w:p>
    <w:p>
      <w:pPr>
        <w:spacing w:line="500" w:lineRule="exact"/>
        <w:ind w:firstLine="640" w:firstLineChars="200"/>
        <w:rPr>
          <w:rFonts w:hint="eastAsia" w:ascii="仿宋_GB2312" w:eastAsia="仿宋_GB2312"/>
          <w:sz w:val="32"/>
        </w:rPr>
      </w:pPr>
      <w:r>
        <w:rPr>
          <w:rFonts w:hint="eastAsia" w:ascii="仿宋_GB2312" w:eastAsia="仿宋_GB2312"/>
          <w:sz w:val="32"/>
        </w:rPr>
        <w:t>第七十三条第二款   有期徒刑的缓刑考验期限为原判刑期以上五年以下，但是不能少于一年。</w:t>
      </w:r>
    </w:p>
    <w:p>
      <w:pPr>
        <w:spacing w:line="500" w:lineRule="exact"/>
        <w:ind w:firstLine="640" w:firstLineChars="200"/>
        <w:rPr>
          <w:rFonts w:hint="eastAsia" w:ascii="仿宋_GB2312" w:eastAsia="仿宋_GB2312"/>
          <w:sz w:val="32"/>
        </w:rPr>
      </w:pPr>
      <w:r>
        <w:rPr>
          <w:rFonts w:hint="eastAsia" w:ascii="仿宋_GB2312" w:eastAsia="仿宋_GB2312"/>
          <w:sz w:val="32"/>
        </w:rPr>
        <w:t>第七十三条第三款   缓刑考验期限，从判决确定之日起计算。</w:t>
      </w:r>
    </w:p>
    <w:p>
      <w:pPr>
        <w:spacing w:line="500" w:lineRule="exact"/>
        <w:ind w:firstLine="640" w:firstLineChars="200"/>
        <w:rPr>
          <w:rFonts w:hint="eastAsia" w:ascii="仿宋_GB2312" w:eastAsia="仿宋_GB2312"/>
          <w:sz w:val="32"/>
        </w:rPr>
      </w:pPr>
      <w:r>
        <w:rPr>
          <w:rFonts w:hint="eastAsia" w:ascii="仿宋_GB2312" w:eastAsia="仿宋_GB2312"/>
          <w:sz w:val="32"/>
        </w:rPr>
        <w:t>第七十五条   被宣告缓刑的犯罪分子，应当遵守下列规定：</w:t>
      </w:r>
    </w:p>
    <w:p>
      <w:pPr>
        <w:spacing w:line="500" w:lineRule="exact"/>
        <w:ind w:firstLine="640" w:firstLineChars="200"/>
        <w:rPr>
          <w:rFonts w:hint="eastAsia" w:ascii="仿宋_GB2312" w:eastAsia="仿宋_GB2312"/>
          <w:sz w:val="32"/>
        </w:rPr>
      </w:pPr>
      <w:r>
        <w:rPr>
          <w:rFonts w:hint="eastAsia" w:ascii="仿宋_GB2312" w:eastAsia="仿宋_GB2312"/>
          <w:sz w:val="32"/>
        </w:rPr>
        <w:t>（一）遵守法律、行政法规，服从监督；</w:t>
      </w:r>
    </w:p>
    <w:p>
      <w:pPr>
        <w:spacing w:line="500" w:lineRule="exact"/>
        <w:ind w:firstLine="640" w:firstLineChars="200"/>
        <w:rPr>
          <w:rFonts w:hint="eastAsia" w:ascii="仿宋_GB2312" w:eastAsia="仿宋_GB2312"/>
          <w:sz w:val="32"/>
        </w:rPr>
      </w:pPr>
      <w:r>
        <w:rPr>
          <w:rFonts w:hint="eastAsia" w:ascii="仿宋_GB2312" w:eastAsia="仿宋_GB2312"/>
          <w:sz w:val="32"/>
        </w:rPr>
        <w:t>（二）按照考察机关的规定报告自己的活动情况；</w:t>
      </w:r>
    </w:p>
    <w:p>
      <w:pPr>
        <w:spacing w:line="500" w:lineRule="exact"/>
        <w:ind w:firstLine="640" w:firstLineChars="200"/>
        <w:rPr>
          <w:rFonts w:hint="eastAsia" w:ascii="仿宋_GB2312" w:eastAsia="仿宋_GB2312"/>
          <w:sz w:val="32"/>
        </w:rPr>
      </w:pPr>
      <w:r>
        <w:rPr>
          <w:rFonts w:hint="eastAsia" w:ascii="仿宋_GB2312" w:eastAsia="仿宋_GB2312"/>
          <w:sz w:val="32"/>
        </w:rPr>
        <w:t>（三）遵守考察机关关于会客的规定；</w:t>
      </w:r>
    </w:p>
    <w:p>
      <w:pPr>
        <w:spacing w:line="500" w:lineRule="exact"/>
        <w:ind w:firstLine="640" w:firstLineChars="200"/>
        <w:rPr>
          <w:rFonts w:hint="eastAsia" w:ascii="仿宋_GB2312" w:eastAsia="仿宋_GB2312"/>
          <w:sz w:val="32"/>
        </w:rPr>
      </w:pPr>
      <w:r>
        <w:rPr>
          <w:rFonts w:hint="eastAsia" w:ascii="仿宋_GB2312" w:eastAsia="仿宋_GB2312"/>
          <w:sz w:val="32"/>
        </w:rPr>
        <w:t>（四）离开所居住的市、县或者迁居，应当报经考察机关批准。</w:t>
      </w:r>
    </w:p>
    <w:p>
      <w:pPr>
        <w:spacing w:line="500" w:lineRule="exact"/>
        <w:ind w:firstLine="640" w:firstLineChars="200"/>
        <w:rPr>
          <w:rFonts w:hint="eastAsia" w:ascii="仿宋_GB2312" w:eastAsia="仿宋_GB2312"/>
          <w:sz w:val="32"/>
        </w:rPr>
      </w:pPr>
      <w:r>
        <w:rPr>
          <w:rFonts w:hint="eastAsia" w:ascii="仿宋_GB2312" w:eastAsia="仿宋_GB2312"/>
          <w:sz w:val="32"/>
        </w:rPr>
        <w:t>第七十六条   对宣告缓刑的犯罪分子，在缓刑考验期限内，依法实行社区矫正，如果没有本法第七十七条规定的情形，缓刑考验期满，原判的刑罚就不再执行，并公开予以宣告。</w:t>
      </w:r>
    </w:p>
    <w:sectPr>
      <w:footerReference r:id="rId3" w:type="default"/>
      <w:footerReference r:id="rId4" w:type="even"/>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4</w:t>
    </w:r>
    <w:r>
      <w:rPr>
        <w:rStyle w:val="6"/>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56314"/>
    <w:rsid w:val="000178FE"/>
    <w:rsid w:val="00051168"/>
    <w:rsid w:val="000635A3"/>
    <w:rsid w:val="00063A95"/>
    <w:rsid w:val="00063AD2"/>
    <w:rsid w:val="00067561"/>
    <w:rsid w:val="00081E4A"/>
    <w:rsid w:val="000A640E"/>
    <w:rsid w:val="000E50A6"/>
    <w:rsid w:val="000F2113"/>
    <w:rsid w:val="00106682"/>
    <w:rsid w:val="00144C4A"/>
    <w:rsid w:val="001523E2"/>
    <w:rsid w:val="00177507"/>
    <w:rsid w:val="0019603E"/>
    <w:rsid w:val="00214BFE"/>
    <w:rsid w:val="002649B1"/>
    <w:rsid w:val="002668BF"/>
    <w:rsid w:val="002A3E1E"/>
    <w:rsid w:val="002F6E12"/>
    <w:rsid w:val="002F761C"/>
    <w:rsid w:val="00300D5F"/>
    <w:rsid w:val="0032310A"/>
    <w:rsid w:val="0035202E"/>
    <w:rsid w:val="00354C98"/>
    <w:rsid w:val="00371603"/>
    <w:rsid w:val="00386E7D"/>
    <w:rsid w:val="00394B04"/>
    <w:rsid w:val="003E3C39"/>
    <w:rsid w:val="003F32B3"/>
    <w:rsid w:val="00401AB7"/>
    <w:rsid w:val="0040426C"/>
    <w:rsid w:val="00412EB7"/>
    <w:rsid w:val="004430D1"/>
    <w:rsid w:val="00462031"/>
    <w:rsid w:val="0048300E"/>
    <w:rsid w:val="004D295B"/>
    <w:rsid w:val="005679AC"/>
    <w:rsid w:val="005718DE"/>
    <w:rsid w:val="00593D51"/>
    <w:rsid w:val="005D4BFE"/>
    <w:rsid w:val="006008AA"/>
    <w:rsid w:val="00602E2C"/>
    <w:rsid w:val="00613781"/>
    <w:rsid w:val="006434B9"/>
    <w:rsid w:val="00660630"/>
    <w:rsid w:val="00697D61"/>
    <w:rsid w:val="006F479B"/>
    <w:rsid w:val="0070282B"/>
    <w:rsid w:val="00712C4C"/>
    <w:rsid w:val="00756314"/>
    <w:rsid w:val="0079196F"/>
    <w:rsid w:val="007D7EA8"/>
    <w:rsid w:val="00856221"/>
    <w:rsid w:val="00870066"/>
    <w:rsid w:val="00871CCC"/>
    <w:rsid w:val="00887FE2"/>
    <w:rsid w:val="008A463A"/>
    <w:rsid w:val="008E1DD8"/>
    <w:rsid w:val="00923AAD"/>
    <w:rsid w:val="009259B7"/>
    <w:rsid w:val="00946F3D"/>
    <w:rsid w:val="00951D12"/>
    <w:rsid w:val="00953F1F"/>
    <w:rsid w:val="00970D96"/>
    <w:rsid w:val="00993B8F"/>
    <w:rsid w:val="00997A7E"/>
    <w:rsid w:val="009A2CF4"/>
    <w:rsid w:val="009E2E40"/>
    <w:rsid w:val="00A11136"/>
    <w:rsid w:val="00B0046F"/>
    <w:rsid w:val="00B17827"/>
    <w:rsid w:val="00B21CF1"/>
    <w:rsid w:val="00B23E6F"/>
    <w:rsid w:val="00B41EAE"/>
    <w:rsid w:val="00B43A90"/>
    <w:rsid w:val="00B50F2C"/>
    <w:rsid w:val="00B63B20"/>
    <w:rsid w:val="00B63D0A"/>
    <w:rsid w:val="00B87388"/>
    <w:rsid w:val="00BD16E1"/>
    <w:rsid w:val="00BF09D1"/>
    <w:rsid w:val="00BF348E"/>
    <w:rsid w:val="00BF6807"/>
    <w:rsid w:val="00C01113"/>
    <w:rsid w:val="00C82DEC"/>
    <w:rsid w:val="00D124ED"/>
    <w:rsid w:val="00D172CA"/>
    <w:rsid w:val="00D37821"/>
    <w:rsid w:val="00D54FC3"/>
    <w:rsid w:val="00D86B1F"/>
    <w:rsid w:val="00DB20E9"/>
    <w:rsid w:val="00DD36EA"/>
    <w:rsid w:val="00DF4E4F"/>
    <w:rsid w:val="00E15365"/>
    <w:rsid w:val="00E1698A"/>
    <w:rsid w:val="00EC59CA"/>
    <w:rsid w:val="00ED24BD"/>
    <w:rsid w:val="00EE0E3C"/>
    <w:rsid w:val="00F467D6"/>
    <w:rsid w:val="00F46A72"/>
    <w:rsid w:val="00F73FFD"/>
    <w:rsid w:val="00F74A36"/>
    <w:rsid w:val="00FB52A2"/>
    <w:rsid w:val="27755944"/>
    <w:rsid w:val="2D993981"/>
    <w:rsid w:val="31132611"/>
    <w:rsid w:val="449C5E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link w:val="5"/>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Plain Text"/>
    <w:basedOn w:val="1"/>
    <w:link w:val="9"/>
    <w:uiPriority w:val="0"/>
    <w:rPr>
      <w:rFonts w:ascii="宋体" w:hAnsi="Courier New" w:eastAsia="仿宋_GB2312"/>
      <w:sz w:val="30"/>
      <w:szCs w:val="20"/>
    </w:rPr>
  </w:style>
  <w:style w:type="paragraph" w:styleId="3">
    <w:name w:val="footer"/>
    <w:basedOn w:val="1"/>
    <w:qFormat/>
    <w:uiPriority w:val="0"/>
    <w:pPr>
      <w:tabs>
        <w:tab w:val="center" w:pos="4153"/>
        <w:tab w:val="right" w:pos="8306"/>
      </w:tabs>
      <w:snapToGrid w:val="0"/>
      <w:jc w:val="left"/>
    </w:pPr>
    <w:rPr>
      <w:sz w:val="18"/>
      <w:szCs w:val="18"/>
    </w:rPr>
  </w:style>
  <w:style w:type="paragraph" w:customStyle="1" w:styleId="5">
    <w:name w:val="Char"/>
    <w:basedOn w:val="1"/>
    <w:link w:val="4"/>
    <w:qFormat/>
    <w:uiPriority w:val="0"/>
    <w:pPr>
      <w:widowControl/>
      <w:spacing w:after="160" w:line="240" w:lineRule="exact"/>
      <w:jc w:val="left"/>
    </w:pPr>
    <w:rPr>
      <w:rFonts w:ascii="Verdana" w:hAnsi="Verdana" w:eastAsia="仿宋_GB2312"/>
      <w:kern w:val="0"/>
      <w:sz w:val="24"/>
      <w:szCs w:val="20"/>
      <w:lang w:eastAsia="en-US"/>
    </w:rPr>
  </w:style>
  <w:style w:type="character" w:styleId="6">
    <w:name w:val="page number"/>
    <w:basedOn w:val="4"/>
    <w:uiPriority w:val="0"/>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 Char Char1"/>
    <w:basedOn w:val="4"/>
    <w:link w:val="2"/>
    <w:qFormat/>
    <w:uiPriority w:val="0"/>
    <w:rPr>
      <w:rFonts w:ascii="宋体" w:hAnsi="Courier New" w:eastAsia="仿宋_GB2312"/>
      <w:kern w:val="2"/>
      <w:sz w:val="30"/>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Company>
  <Pages>1</Pages>
  <Words>306</Words>
  <Characters>1749</Characters>
  <Lines>14</Lines>
  <Paragraphs>4</Paragraphs>
  <TotalTime>0</TotalTime>
  <ScaleCrop>false</ScaleCrop>
  <LinksUpToDate>false</LinksUpToDate>
  <CharactersWithSpaces>2051</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2014-04-14T03:31:00Z</dcterms:created>
  <dc:creator>User</dc:creator>
  <cp:lastModifiedBy>TF-PC</cp:lastModifiedBy>
  <dcterms:modified xsi:type="dcterms:W3CDTF">2018-08-27T09:40:52Z</dcterms:modified>
  <dc:title>天津市河西区人民法院</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