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ascii="楷体_GB2312" w:hAnsi="华文楷体" w:eastAsia="楷体_GB2312"/>
          <w:kern w:val="0"/>
          <w:sz w:val="44"/>
          <w:szCs w:val="44"/>
        </w:rPr>
      </w:pPr>
      <w:bookmarkStart w:id="0" w:name="_GoBack"/>
      <w:bookmarkEnd w:id="0"/>
      <w:r>
        <w:rPr>
          <w:rFonts w:hint="eastAsia" w:ascii="楷体_GB2312" w:hAnsi="华文楷体" w:eastAsia="楷体_GB2312"/>
          <w:kern w:val="0"/>
          <w:sz w:val="44"/>
          <w:szCs w:val="44"/>
        </w:rPr>
        <w:t>天津市河西区人民法院</w:t>
      </w:r>
    </w:p>
    <w:p>
      <w:pPr>
        <w:widowControl/>
        <w:snapToGrid w:val="0"/>
        <w:spacing w:line="360" w:lineRule="auto"/>
        <w:jc w:val="center"/>
        <w:rPr>
          <w:rFonts w:hint="eastAsia" w:ascii="黑体" w:hAnsi="华文楷体" w:eastAsia="黑体"/>
          <w:kern w:val="0"/>
          <w:sz w:val="52"/>
          <w:szCs w:val="52"/>
        </w:rPr>
      </w:pPr>
      <w:r>
        <w:rPr>
          <w:rFonts w:hint="eastAsia" w:ascii="黑体" w:hAnsi="华文楷体" w:eastAsia="黑体"/>
          <w:kern w:val="0"/>
          <w:sz w:val="52"/>
          <w:szCs w:val="52"/>
        </w:rPr>
        <w:t>刑 事 判 决 书</w:t>
      </w:r>
    </w:p>
    <w:p>
      <w:pPr>
        <w:widowControl/>
        <w:snapToGrid w:val="0"/>
        <w:spacing w:line="480" w:lineRule="exact"/>
        <w:rPr>
          <w:rFonts w:hint="eastAsia" w:ascii="仿宋_GB2312" w:hAnsi="华文楷体" w:eastAsia="仿宋_GB2312"/>
          <w:kern w:val="0"/>
          <w:sz w:val="32"/>
          <w:szCs w:val="32"/>
        </w:rPr>
      </w:pPr>
    </w:p>
    <w:p>
      <w:pPr>
        <w:widowControl/>
        <w:snapToGrid w:val="0"/>
        <w:spacing w:line="500" w:lineRule="exact"/>
        <w:jc w:val="right"/>
        <w:rPr>
          <w:rFonts w:eastAsia="仿宋_GB2312"/>
          <w:kern w:val="0"/>
          <w:sz w:val="32"/>
          <w:szCs w:val="32"/>
        </w:rPr>
      </w:pPr>
      <w:r>
        <w:rPr>
          <w:rFonts w:eastAsia="仿宋_GB2312"/>
          <w:kern w:val="0"/>
          <w:sz w:val="32"/>
          <w:szCs w:val="32"/>
        </w:rPr>
        <w:t>（2014）西刑初字第262号</w:t>
      </w:r>
    </w:p>
    <w:p>
      <w:pPr>
        <w:widowControl/>
        <w:snapToGrid w:val="0"/>
        <w:spacing w:line="500" w:lineRule="exact"/>
        <w:ind w:firstLine="640" w:firstLineChars="200"/>
        <w:rPr>
          <w:rFonts w:eastAsia="仿宋_GB2312"/>
          <w:kern w:val="0"/>
          <w:sz w:val="32"/>
          <w:szCs w:val="32"/>
        </w:rPr>
      </w:pP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公诉机关天津市河西区人民检察院。</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被告人</w:t>
      </w:r>
      <w:r>
        <w:rPr>
          <w:rFonts w:eastAsia="仿宋_GB2312"/>
          <w:sz w:val="32"/>
          <w:szCs w:val="32"/>
        </w:rPr>
        <w:t>崔兰，女，1964年9月17日出生，公民身份号码：</w:t>
      </w:r>
      <w:r>
        <w:rPr>
          <w:rFonts w:eastAsia="仿宋_GB2312"/>
          <w:kern w:val="0"/>
          <w:sz w:val="32"/>
          <w:szCs w:val="32"/>
        </w:rPr>
        <w:t>12010619640917702X</w:t>
      </w:r>
      <w:r>
        <w:rPr>
          <w:rFonts w:eastAsia="仿宋_GB2312"/>
          <w:sz w:val="32"/>
          <w:szCs w:val="32"/>
        </w:rPr>
        <w:t>，</w:t>
      </w:r>
      <w:r>
        <w:rPr>
          <w:rFonts w:eastAsia="仿宋_GB2312"/>
          <w:kern w:val="0"/>
          <w:sz w:val="32"/>
          <w:szCs w:val="32"/>
        </w:rPr>
        <w:t>汉族</w:t>
      </w:r>
      <w:r>
        <w:rPr>
          <w:rFonts w:eastAsia="仿宋_GB2312"/>
          <w:sz w:val="32"/>
          <w:szCs w:val="32"/>
        </w:rPr>
        <w:t>，高中</w:t>
      </w:r>
      <w:r>
        <w:rPr>
          <w:rFonts w:eastAsia="仿宋_GB2312"/>
          <w:kern w:val="0"/>
          <w:sz w:val="32"/>
          <w:szCs w:val="32"/>
        </w:rPr>
        <w:t>文化，</w:t>
      </w:r>
      <w:r>
        <w:rPr>
          <w:rFonts w:eastAsia="仿宋_GB2312"/>
          <w:sz w:val="32"/>
          <w:szCs w:val="32"/>
        </w:rPr>
        <w:t>无职业，住天津市东丽区秋悦家园9号楼1607号，户籍地天津市红桥区佳园道佳园北里49门204号。2014年5月27日被刑事拘留，2014年6月4日因涉嫌犯有信用卡诈骗罪被依法逮捕</w:t>
      </w:r>
      <w:r>
        <w:rPr>
          <w:rFonts w:eastAsia="仿宋_GB2312"/>
          <w:kern w:val="0"/>
          <w:sz w:val="32"/>
          <w:szCs w:val="32"/>
        </w:rPr>
        <w:t>。现羁押于天津市河西区看守所</w:t>
      </w:r>
      <w:r>
        <w:rPr>
          <w:rFonts w:eastAsia="仿宋_GB2312"/>
          <w:sz w:val="32"/>
          <w:szCs w:val="32"/>
        </w:rPr>
        <w:t>。</w:t>
      </w:r>
    </w:p>
    <w:p>
      <w:pPr>
        <w:widowControl/>
        <w:tabs>
          <w:tab w:val="left" w:pos="711"/>
        </w:tabs>
        <w:snapToGrid w:val="0"/>
        <w:spacing w:line="500" w:lineRule="exact"/>
        <w:rPr>
          <w:rFonts w:eastAsia="仿宋_GB2312"/>
          <w:kern w:val="0"/>
          <w:sz w:val="32"/>
          <w:szCs w:val="32"/>
        </w:rPr>
      </w:pPr>
      <w:r>
        <w:rPr>
          <w:rFonts w:eastAsia="仿宋_GB2312"/>
          <w:kern w:val="0"/>
          <w:sz w:val="32"/>
          <w:szCs w:val="32"/>
        </w:rPr>
        <w:tab/>
      </w:r>
      <w:r>
        <w:rPr>
          <w:rFonts w:eastAsia="仿宋_GB2312"/>
          <w:kern w:val="0"/>
          <w:sz w:val="32"/>
          <w:szCs w:val="32"/>
        </w:rPr>
        <w:t>天津市河西区人民检察院以津西检公诉刑诉[2014]248号起诉书指控被告人崔兰犯信用卡诈骗罪，于2014年7月1日向本院提起公诉，并提出量刑建议。本院依法适用简易程序，实行独任审判，公开开庭审理了本案。</w:t>
      </w:r>
      <w:r>
        <w:rPr>
          <w:rFonts w:eastAsia="仿宋_GB2312"/>
          <w:sz w:val="32"/>
          <w:szCs w:val="32"/>
        </w:rPr>
        <w:t>天津市河西区人民检察院指派检察员何磊出庭支持公诉，</w:t>
      </w:r>
      <w:r>
        <w:rPr>
          <w:rFonts w:eastAsia="仿宋_GB2312"/>
          <w:kern w:val="0"/>
          <w:sz w:val="32"/>
          <w:szCs w:val="32"/>
        </w:rPr>
        <w:t>被告人崔兰到庭参加诉讼。现已审理终结。</w:t>
      </w:r>
    </w:p>
    <w:p>
      <w:pPr>
        <w:spacing w:line="500" w:lineRule="exact"/>
        <w:ind w:firstLine="640" w:firstLineChars="200"/>
        <w:rPr>
          <w:rFonts w:eastAsia="仿宋_GB2312"/>
          <w:kern w:val="0"/>
          <w:sz w:val="32"/>
          <w:szCs w:val="32"/>
        </w:rPr>
      </w:pPr>
      <w:r>
        <w:rPr>
          <w:rFonts w:eastAsia="仿宋_GB2312"/>
          <w:kern w:val="0"/>
          <w:sz w:val="32"/>
          <w:szCs w:val="32"/>
        </w:rPr>
        <w:t>天津市河西区人民检察院指控，</w:t>
      </w:r>
      <w:r>
        <w:rPr>
          <w:rFonts w:eastAsia="仿宋_GB2312"/>
          <w:sz w:val="32"/>
          <w:szCs w:val="32"/>
        </w:rPr>
        <w:t>2008年7月初，被告人崔兰在中信银行天津分行申领信用卡一张（卡号：4033918007724368），并于同年7月23日开始使用， 2013年1月25日以后就再无还款记录，截至2014年1月1日累计欠款人民币28604.27元，</w:t>
      </w:r>
      <w:r>
        <w:rPr>
          <w:rFonts w:eastAsia="仿宋_GB2312"/>
          <w:kern w:val="0"/>
          <w:sz w:val="32"/>
          <w:szCs w:val="32"/>
        </w:rPr>
        <w:t>其中本金人民币20604.99元，利息、滞纳金等费用共计人民币7999.28元。</w:t>
      </w:r>
      <w:r>
        <w:rPr>
          <w:rFonts w:eastAsia="仿宋_GB2312"/>
          <w:sz w:val="32"/>
          <w:szCs w:val="32"/>
        </w:rPr>
        <w:t>期间，经中信银行天津分行工作人员多次催收仍拒不归还。</w:t>
      </w:r>
      <w:r>
        <w:rPr>
          <w:rFonts w:eastAsia="仿宋_GB2312"/>
          <w:kern w:val="0"/>
          <w:sz w:val="32"/>
          <w:szCs w:val="32"/>
        </w:rPr>
        <w:t>2014年5月22日，中信银行代表到公安机关举报，公安人员于5月26日将被告人崔兰传唤至公安机关，经进一步侦查成案。</w:t>
      </w:r>
    </w:p>
    <w:p>
      <w:pPr>
        <w:widowControl/>
        <w:snapToGrid w:val="0"/>
        <w:spacing w:line="500" w:lineRule="exact"/>
        <w:ind w:firstLine="645"/>
        <w:rPr>
          <w:rFonts w:eastAsia="仿宋_GB2312"/>
          <w:kern w:val="0"/>
          <w:sz w:val="32"/>
          <w:szCs w:val="32"/>
        </w:rPr>
      </w:pPr>
      <w:r>
        <w:rPr>
          <w:rFonts w:eastAsia="仿宋_GB2312"/>
          <w:kern w:val="0"/>
          <w:sz w:val="32"/>
          <w:szCs w:val="32"/>
        </w:rPr>
        <w:t>案发后，被告人崔兰已向中信银行股份有限公司天津分行归还全部本息。</w:t>
      </w:r>
    </w:p>
    <w:p>
      <w:pPr>
        <w:widowControl/>
        <w:snapToGrid w:val="0"/>
        <w:spacing w:line="500" w:lineRule="exact"/>
        <w:ind w:firstLine="645"/>
        <w:rPr>
          <w:rFonts w:eastAsia="仿宋_GB2312"/>
          <w:kern w:val="0"/>
          <w:sz w:val="32"/>
          <w:szCs w:val="32"/>
        </w:rPr>
      </w:pPr>
      <w:r>
        <w:rPr>
          <w:rFonts w:eastAsia="仿宋_GB2312"/>
          <w:kern w:val="0"/>
          <w:sz w:val="32"/>
          <w:szCs w:val="32"/>
        </w:rPr>
        <w:t>上述事实，被告人崔兰在开庭审理过程中亦无异议，且表示认罪。并有中国信用卡银行股份有限公司天津分行信用卡中心代表刘某某陈述、中国中信银行股份有限公司天津分行信用卡中心出具的报案材料、</w:t>
      </w:r>
      <w:r>
        <w:rPr>
          <w:rFonts w:eastAsia="仿宋_GB2312"/>
          <w:kern w:val="0"/>
          <w:sz w:val="32"/>
          <w:szCs w:val="32"/>
          <w:lang w:val="zh-CN"/>
        </w:rPr>
        <w:t>申请表、催收基本资料、交易记录、</w:t>
      </w:r>
      <w:r>
        <w:rPr>
          <w:rFonts w:eastAsia="仿宋_GB2312"/>
          <w:kern w:val="0"/>
          <w:sz w:val="32"/>
          <w:szCs w:val="32"/>
        </w:rPr>
        <w:t>催收记录等材料，情况说明，公安机关出具的案件来源、抓获经过等证据证实，足以认定。</w:t>
      </w:r>
    </w:p>
    <w:p>
      <w:pPr>
        <w:widowControl/>
        <w:snapToGrid w:val="0"/>
        <w:spacing w:line="500" w:lineRule="exact"/>
        <w:ind w:firstLine="645"/>
        <w:rPr>
          <w:rFonts w:eastAsia="仿宋_GB2312"/>
          <w:kern w:val="0"/>
          <w:sz w:val="32"/>
          <w:szCs w:val="32"/>
        </w:rPr>
      </w:pPr>
      <w:r>
        <w:rPr>
          <w:rFonts w:eastAsia="仿宋_GB2312"/>
          <w:kern w:val="0"/>
          <w:sz w:val="32"/>
          <w:szCs w:val="32"/>
        </w:rPr>
        <w:t>本院认为，被告人崔兰以非法占有为目的，使用信用卡恶意透支人民币20604.99元，数额较大，经发卡银行多次催收后仍不归还，其行为已构成信用卡诈骗罪。被告人崔兰到案后能如实供述自己的犯罪事实，依法可从轻处罚。</w:t>
      </w:r>
      <w:r>
        <w:rPr>
          <w:rFonts w:eastAsia="仿宋_GB2312"/>
          <w:sz w:val="32"/>
          <w:szCs w:val="32"/>
        </w:rPr>
        <w:t>为严肃国家法律，维护金融管理秩序，</w:t>
      </w:r>
      <w:r>
        <w:rPr>
          <w:rFonts w:eastAsia="仿宋_GB2312"/>
          <w:bCs/>
          <w:kern w:val="0"/>
          <w:sz w:val="32"/>
          <w:szCs w:val="32"/>
          <w:lang w:val="zh-CN"/>
        </w:rPr>
        <w:t>保护公共财产权利不受侵犯。</w:t>
      </w:r>
      <w:r>
        <w:rPr>
          <w:rFonts w:eastAsia="仿宋_GB2312"/>
          <w:sz w:val="32"/>
          <w:szCs w:val="32"/>
        </w:rPr>
        <w:t>同时考虑，案发后被告人</w:t>
      </w:r>
      <w:r>
        <w:rPr>
          <w:rFonts w:eastAsia="仿宋_GB2312"/>
          <w:kern w:val="0"/>
          <w:sz w:val="32"/>
          <w:szCs w:val="32"/>
        </w:rPr>
        <w:t>崔兰能归还全部欠款，</w:t>
      </w:r>
      <w:r>
        <w:rPr>
          <w:rFonts w:eastAsia="仿宋_GB2312"/>
          <w:sz w:val="32"/>
          <w:szCs w:val="32"/>
        </w:rPr>
        <w:t>认罪态度较好，有悔罪表现之情节，</w:t>
      </w:r>
      <w:r>
        <w:rPr>
          <w:rFonts w:eastAsia="仿宋_GB2312"/>
          <w:kern w:val="0"/>
          <w:sz w:val="32"/>
          <w:szCs w:val="32"/>
        </w:rPr>
        <w:t>依据《中华人民共和国刑法》第一百九十六条第一款第（四）项、第二款，第六十七条第三款，</w:t>
      </w:r>
      <w:r>
        <w:rPr>
          <w:rFonts w:eastAsia="仿宋_GB2312"/>
          <w:bCs/>
          <w:sz w:val="32"/>
          <w:szCs w:val="32"/>
        </w:rPr>
        <w:t>第七十二条第一款、第三款，第七十三条第二款、第三款，第七十五条，第七十六条</w:t>
      </w:r>
      <w:r>
        <w:rPr>
          <w:rFonts w:eastAsia="仿宋_GB2312"/>
          <w:kern w:val="0"/>
          <w:sz w:val="32"/>
          <w:szCs w:val="32"/>
        </w:rPr>
        <w:t>之规定，判决如下：</w:t>
      </w:r>
    </w:p>
    <w:p>
      <w:pPr>
        <w:spacing w:line="500" w:lineRule="exact"/>
        <w:ind w:firstLine="640"/>
        <w:rPr>
          <w:rFonts w:eastAsia="仿宋_GB2312"/>
          <w:sz w:val="32"/>
          <w:szCs w:val="32"/>
        </w:rPr>
      </w:pPr>
      <w:r>
        <w:rPr>
          <w:rFonts w:eastAsia="仿宋_GB2312"/>
          <w:kern w:val="0"/>
          <w:sz w:val="32"/>
          <w:szCs w:val="32"/>
        </w:rPr>
        <w:t>被告人崔兰犯信用卡诈骗罪，判处有期徒刑十个月，缓刑一年，罚金人民币20000元。</w:t>
      </w:r>
      <w:r>
        <w:rPr>
          <w:rFonts w:eastAsia="仿宋_GB2312"/>
          <w:sz w:val="32"/>
          <w:szCs w:val="32"/>
        </w:rPr>
        <w:t>在（刑罚）执行期间，被告人崔兰应当接受相关组织社区矫正。</w:t>
      </w:r>
    </w:p>
    <w:p>
      <w:pPr>
        <w:widowControl/>
        <w:snapToGrid w:val="0"/>
        <w:spacing w:line="500" w:lineRule="exact"/>
        <w:ind w:firstLine="645"/>
        <w:rPr>
          <w:rFonts w:eastAsia="仿宋_GB2312"/>
          <w:kern w:val="0"/>
          <w:sz w:val="32"/>
          <w:szCs w:val="32"/>
        </w:rPr>
      </w:pPr>
      <w:r>
        <w:rPr>
          <w:rFonts w:eastAsia="仿宋_GB2312"/>
          <w:sz w:val="32"/>
          <w:szCs w:val="32"/>
        </w:rPr>
        <w:t>（缓刑考验期限，从判决确定之日起计算。）</w:t>
      </w:r>
    </w:p>
    <w:p>
      <w:pPr>
        <w:widowControl/>
        <w:snapToGrid w:val="0"/>
        <w:spacing w:line="500" w:lineRule="exact"/>
        <w:ind w:firstLine="640"/>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eastAsia="仿宋_GB2312"/>
          <w:kern w:val="0"/>
          <w:sz w:val="32"/>
          <w:szCs w:val="32"/>
        </w:rPr>
      </w:pPr>
    </w:p>
    <w:p>
      <w:pPr>
        <w:widowControl/>
        <w:snapToGrid w:val="0"/>
        <w:spacing w:line="500" w:lineRule="exact"/>
        <w:rPr>
          <w:rFonts w:eastAsia="仿宋_GB2312"/>
          <w:kern w:val="0"/>
          <w:sz w:val="32"/>
          <w:szCs w:val="32"/>
        </w:rPr>
      </w:pPr>
      <w:r>
        <w:rPr>
          <w:rFonts w:eastAsia="仿宋_GB2312"/>
          <w:kern w:val="0"/>
          <w:sz w:val="32"/>
          <w:szCs w:val="32"/>
        </w:rPr>
        <w:t>（此页无正文）</w:t>
      </w:r>
    </w:p>
    <w:p>
      <w:pPr>
        <w:widowControl/>
        <w:snapToGrid w:val="0"/>
        <w:spacing w:line="500" w:lineRule="exact"/>
        <w:ind w:firstLine="640"/>
        <w:rPr>
          <w:rFonts w:eastAsia="仿宋_GB2312"/>
          <w:kern w:val="0"/>
          <w:sz w:val="32"/>
          <w:szCs w:val="32"/>
        </w:rPr>
      </w:pPr>
    </w:p>
    <w:p>
      <w:pPr>
        <w:widowControl/>
        <w:snapToGrid w:val="0"/>
        <w:spacing w:line="500" w:lineRule="exact"/>
        <w:ind w:firstLine="640"/>
        <w:rPr>
          <w:rFonts w:eastAsia="仿宋_GB2312"/>
          <w:kern w:val="0"/>
          <w:sz w:val="32"/>
          <w:szCs w:val="32"/>
        </w:rPr>
      </w:pPr>
    </w:p>
    <w:p>
      <w:pPr>
        <w:widowControl/>
        <w:snapToGrid w:val="0"/>
        <w:spacing w:line="500" w:lineRule="exact"/>
        <w:ind w:firstLine="640"/>
        <w:rPr>
          <w:rFonts w:eastAsia="仿宋_GB2312"/>
          <w:kern w:val="0"/>
          <w:sz w:val="32"/>
          <w:szCs w:val="32"/>
        </w:rPr>
      </w:pPr>
    </w:p>
    <w:p>
      <w:pPr>
        <w:widowControl/>
        <w:snapToGrid w:val="0"/>
        <w:spacing w:line="500" w:lineRule="exact"/>
        <w:ind w:firstLine="645"/>
        <w:jc w:val="right"/>
        <w:rPr>
          <w:rFonts w:eastAsia="仿宋_GB2312"/>
          <w:kern w:val="0"/>
          <w:sz w:val="32"/>
          <w:szCs w:val="32"/>
        </w:rPr>
      </w:pPr>
      <w:r>
        <w:rPr>
          <w:rFonts w:eastAsia="仿宋_GB2312"/>
          <w:kern w:val="0"/>
          <w:sz w:val="32"/>
          <w:szCs w:val="32"/>
        </w:rPr>
        <w:t>审  判  员  张忠志</w:t>
      </w:r>
    </w:p>
    <w:p>
      <w:pPr>
        <w:widowControl/>
        <w:snapToGrid w:val="0"/>
        <w:spacing w:line="500" w:lineRule="exact"/>
        <w:ind w:firstLine="645"/>
        <w:jc w:val="right"/>
        <w:rPr>
          <w:rFonts w:eastAsia="仿宋_GB2312"/>
          <w:kern w:val="0"/>
          <w:sz w:val="32"/>
          <w:szCs w:val="32"/>
        </w:rPr>
      </w:pPr>
    </w:p>
    <w:p>
      <w:pPr>
        <w:widowControl/>
        <w:snapToGrid w:val="0"/>
        <w:spacing w:line="500" w:lineRule="exact"/>
        <w:ind w:firstLine="645"/>
        <w:jc w:val="right"/>
        <w:rPr>
          <w:rFonts w:eastAsia="仿宋_GB2312"/>
          <w:kern w:val="0"/>
          <w:sz w:val="32"/>
          <w:szCs w:val="32"/>
        </w:rPr>
      </w:pPr>
      <w:r>
        <w:rPr>
          <w:rFonts w:eastAsia="仿宋_GB2312"/>
          <w:kern w:val="0"/>
          <w:sz w:val="32"/>
          <w:szCs w:val="32"/>
        </w:rPr>
        <w:t>                          二</w:t>
      </w:r>
      <w:r>
        <w:rPr>
          <w:kern w:val="0"/>
          <w:sz w:val="32"/>
          <w:szCs w:val="32"/>
        </w:rPr>
        <w:t>〇</w:t>
      </w:r>
      <w:r>
        <w:rPr>
          <w:rFonts w:eastAsia="仿宋_GB2312"/>
          <w:kern w:val="0"/>
          <w:sz w:val="32"/>
          <w:szCs w:val="32"/>
        </w:rPr>
        <w:t>一四年七月十一日</w:t>
      </w:r>
    </w:p>
    <w:p>
      <w:pPr>
        <w:widowControl/>
        <w:snapToGrid w:val="0"/>
        <w:spacing w:line="500" w:lineRule="exact"/>
        <w:ind w:firstLine="645"/>
        <w:jc w:val="right"/>
        <w:rPr>
          <w:rFonts w:eastAsia="仿宋_GB2312"/>
          <w:kern w:val="0"/>
          <w:sz w:val="32"/>
          <w:szCs w:val="32"/>
        </w:rPr>
      </w:pPr>
    </w:p>
    <w:p>
      <w:pPr>
        <w:widowControl/>
        <w:snapToGrid w:val="0"/>
        <w:spacing w:line="500" w:lineRule="exact"/>
        <w:ind w:firstLine="645"/>
        <w:jc w:val="right"/>
        <w:rPr>
          <w:rFonts w:eastAsia="仿宋_GB2312"/>
          <w:kern w:val="0"/>
          <w:sz w:val="32"/>
          <w:szCs w:val="32"/>
        </w:rPr>
      </w:pPr>
      <w:r>
        <w:rPr>
          <w:rFonts w:eastAsia="仿宋_GB2312"/>
          <w:kern w:val="0"/>
          <w:sz w:val="32"/>
          <w:szCs w:val="32"/>
        </w:rPr>
        <w:t>                          书  记  员  张文雅</w:t>
      </w:r>
    </w:p>
    <w:p>
      <w:pPr>
        <w:widowControl/>
        <w:snapToGrid w:val="0"/>
        <w:spacing w:line="500" w:lineRule="exact"/>
        <w:ind w:firstLine="645"/>
        <w:jc w:val="right"/>
        <w:rPr>
          <w:rFonts w:eastAsia="仿宋_GB2312"/>
          <w:kern w:val="0"/>
          <w:sz w:val="32"/>
          <w:szCs w:val="32"/>
        </w:rPr>
      </w:pPr>
      <w:r>
        <w:rPr>
          <w:rFonts w:eastAsia="仿宋_GB2312"/>
          <w:kern w:val="0"/>
          <w:sz w:val="32"/>
          <w:szCs w:val="32"/>
        </w:rPr>
        <w:t>                          速  录  员  王  娟</w:t>
      </w:r>
    </w:p>
    <w:p>
      <w:pPr>
        <w:widowControl/>
        <w:snapToGrid w:val="0"/>
        <w:spacing w:line="500" w:lineRule="exact"/>
        <w:ind w:firstLine="645"/>
        <w:jc w:val="right"/>
        <w:rPr>
          <w:rFonts w:eastAsia="仿宋_GB2312"/>
          <w:kern w:val="0"/>
          <w:sz w:val="32"/>
          <w:szCs w:val="3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_GB2312"/>
          <w:sz w:val="32"/>
        </w:rPr>
      </w:pPr>
      <w:r>
        <w:rPr>
          <w:rFonts w:eastAsia="仿宋_GB2312"/>
          <w:sz w:val="32"/>
        </w:rPr>
        <w:t>（一）犯罪情节较轻；</w:t>
      </w:r>
    </w:p>
    <w:p>
      <w:pPr>
        <w:spacing w:line="500" w:lineRule="exact"/>
        <w:ind w:firstLine="640" w:firstLineChars="200"/>
        <w:rPr>
          <w:rFonts w:eastAsia="仿宋_GB2312"/>
          <w:sz w:val="32"/>
        </w:rPr>
      </w:pPr>
      <w:r>
        <w:rPr>
          <w:rFonts w:eastAsia="仿宋_GB2312"/>
          <w:sz w:val="32"/>
        </w:rPr>
        <w:t>（二）有悔罪表现；</w:t>
      </w:r>
    </w:p>
    <w:p>
      <w:pPr>
        <w:spacing w:line="500" w:lineRule="exact"/>
        <w:ind w:firstLine="640" w:firstLineChars="200"/>
        <w:rPr>
          <w:rFonts w:eastAsia="仿宋_GB2312"/>
          <w:sz w:val="32"/>
        </w:rPr>
      </w:pPr>
      <w:r>
        <w:rPr>
          <w:rFonts w:eastAsia="仿宋_GB2312"/>
          <w:sz w:val="32"/>
        </w:rPr>
        <w:t>（三）没有再犯罪的危险；</w:t>
      </w:r>
    </w:p>
    <w:p>
      <w:pPr>
        <w:spacing w:line="500" w:lineRule="exact"/>
        <w:ind w:firstLine="640" w:firstLineChars="200"/>
        <w:rPr>
          <w:rFonts w:eastAsia="仿宋_GB2312"/>
          <w:sz w:val="32"/>
        </w:rPr>
      </w:pPr>
      <w:r>
        <w:rPr>
          <w:rFonts w:eastAsia="仿宋_GB2312"/>
          <w:sz w:val="32"/>
        </w:rPr>
        <w:t>（四）宣告缓刑对所居住社区没有重大不良影响。</w:t>
      </w:r>
    </w:p>
    <w:p>
      <w:pPr>
        <w:spacing w:line="500" w:lineRule="exact"/>
        <w:ind w:firstLine="640" w:firstLineChars="200"/>
        <w:rPr>
          <w:rFonts w:eastAsia="仿宋_GB2312"/>
          <w:sz w:val="32"/>
        </w:rPr>
      </w:pPr>
      <w:r>
        <w:rPr>
          <w:rFonts w:eastAsia="仿宋_GB2312"/>
          <w:sz w:val="32"/>
        </w:rPr>
        <w:t>第七十二条第三款   被宣告缓刑的犯罪分子，如果被判处附加刑，附加刑仍须执行。</w:t>
      </w:r>
    </w:p>
    <w:p>
      <w:pPr>
        <w:spacing w:line="500" w:lineRule="exact"/>
        <w:ind w:firstLine="640" w:firstLineChars="200"/>
        <w:rPr>
          <w:rFonts w:eastAsia="仿宋_GB2312"/>
          <w:sz w:val="32"/>
        </w:rPr>
      </w:pPr>
      <w:r>
        <w:rPr>
          <w:rFonts w:eastAsia="仿宋_GB2312"/>
          <w:sz w:val="32"/>
        </w:rPr>
        <w:t>第七十三条第二款   有期徒刑的缓刑考验期限为原判刑期以上五年以下，但是不能少于一年。</w:t>
      </w:r>
    </w:p>
    <w:p>
      <w:pPr>
        <w:ind w:firstLine="640" w:firstLineChars="200"/>
        <w:rPr>
          <w:rFonts w:eastAsia="仿宋_GB2312"/>
          <w:sz w:val="32"/>
        </w:rPr>
      </w:pPr>
      <w:r>
        <w:rPr>
          <w:rFonts w:eastAsia="仿宋_GB2312"/>
          <w:sz w:val="32"/>
        </w:rPr>
        <w:t>第七十三条第三款   缓刑考验期限，从判决确定之日起计算。</w:t>
      </w:r>
    </w:p>
    <w:p>
      <w:pPr>
        <w:ind w:firstLine="640" w:firstLineChars="200"/>
        <w:rPr>
          <w:rFonts w:eastAsia="仿宋_GB2312"/>
          <w:sz w:val="32"/>
        </w:rPr>
      </w:pPr>
      <w:r>
        <w:rPr>
          <w:rFonts w:eastAsia="仿宋_GB2312"/>
          <w:sz w:val="32"/>
        </w:rPr>
        <w:t>第七十五条   被宣告缓刑的犯罪分子，应当遵守下列规定：</w:t>
      </w:r>
    </w:p>
    <w:p>
      <w:pPr>
        <w:ind w:firstLine="640" w:firstLineChars="200"/>
        <w:rPr>
          <w:rFonts w:eastAsia="仿宋_GB2312"/>
          <w:sz w:val="32"/>
        </w:rPr>
      </w:pPr>
      <w:r>
        <w:rPr>
          <w:rFonts w:eastAsia="仿宋_GB2312"/>
          <w:sz w:val="32"/>
        </w:rPr>
        <w:t>（一）遵守法律、行政法规，服从监督；</w:t>
      </w:r>
    </w:p>
    <w:p>
      <w:pPr>
        <w:ind w:firstLine="640" w:firstLineChars="200"/>
        <w:rPr>
          <w:rFonts w:eastAsia="仿宋_GB2312"/>
          <w:sz w:val="32"/>
        </w:rPr>
      </w:pPr>
      <w:r>
        <w:rPr>
          <w:rFonts w:eastAsia="仿宋_GB2312"/>
          <w:sz w:val="32"/>
        </w:rPr>
        <w:t>（二）按照考察机关的规定报告自己的活动情况；</w:t>
      </w:r>
    </w:p>
    <w:p>
      <w:pPr>
        <w:ind w:firstLine="640" w:firstLineChars="200"/>
        <w:rPr>
          <w:rFonts w:eastAsia="仿宋_GB2312"/>
          <w:sz w:val="32"/>
        </w:rPr>
      </w:pPr>
      <w:r>
        <w:rPr>
          <w:rFonts w:eastAsia="仿宋_GB2312"/>
          <w:sz w:val="32"/>
        </w:rPr>
        <w:t>（三）遵守考察机关关于会客的规定；</w:t>
      </w:r>
    </w:p>
    <w:p>
      <w:pPr>
        <w:ind w:firstLine="640" w:firstLineChars="200"/>
        <w:rPr>
          <w:rFonts w:eastAsia="仿宋_GB2312"/>
          <w:sz w:val="32"/>
        </w:rPr>
      </w:pPr>
      <w:r>
        <w:rPr>
          <w:rFonts w:eastAsia="仿宋_GB2312"/>
          <w:sz w:val="32"/>
        </w:rPr>
        <w:t>（四）离开所居住的市、县或者迁居，应当报经考察机关批准。</w:t>
      </w:r>
    </w:p>
    <w:p>
      <w:pPr>
        <w:ind w:firstLine="640" w:firstLineChars="200"/>
        <w:rPr>
          <w:rFonts w:eastAsia="仿宋_GB2312"/>
          <w:sz w:val="32"/>
        </w:rPr>
      </w:pPr>
      <w:r>
        <w:rPr>
          <w:rFonts w:eastAsia="仿宋_GB2312"/>
          <w:sz w:val="32"/>
        </w:rPr>
        <w:t>第七十六条   对宣告缓刑的犯罪分子，在缓刑考验期限内，依法实行社区矫正，如果没有本法第七十七条规定的情形，缓刑考验期满，原判的刑罚就不再执行，并公开予以宣告。</w:t>
      </w:r>
    </w:p>
    <w:p>
      <w:pPr>
        <w:ind w:firstLine="640" w:firstLineChars="200"/>
        <w:rPr>
          <w:rFonts w:eastAsia="仿宋_GB2312"/>
          <w:sz w:val="32"/>
        </w:rPr>
      </w:pPr>
      <w:r>
        <w:rPr>
          <w:rFonts w:eastAsia="仿宋_GB2312"/>
          <w:sz w:val="32"/>
        </w:rPr>
        <w:t>第一百九十六条第一款第（四）项   （四）恶意透支的。</w:t>
      </w:r>
    </w:p>
    <w:p>
      <w:pPr>
        <w:ind w:firstLine="640" w:firstLineChars="200"/>
        <w:rPr>
          <w:rFonts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eastAsia="仿宋_GB2312"/>
          <w:sz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062AD"/>
    <w:rsid w:val="00013D02"/>
    <w:rsid w:val="00016015"/>
    <w:rsid w:val="000163E0"/>
    <w:rsid w:val="00076FC0"/>
    <w:rsid w:val="000C651D"/>
    <w:rsid w:val="000C77E9"/>
    <w:rsid w:val="00101CA6"/>
    <w:rsid w:val="00132C30"/>
    <w:rsid w:val="00134EB2"/>
    <w:rsid w:val="00140F1C"/>
    <w:rsid w:val="00141BC6"/>
    <w:rsid w:val="00157F5C"/>
    <w:rsid w:val="00176A81"/>
    <w:rsid w:val="001838C8"/>
    <w:rsid w:val="00186D56"/>
    <w:rsid w:val="0019783B"/>
    <w:rsid w:val="001E5FDE"/>
    <w:rsid w:val="00220F13"/>
    <w:rsid w:val="00243ADF"/>
    <w:rsid w:val="00246E03"/>
    <w:rsid w:val="00253599"/>
    <w:rsid w:val="002574D0"/>
    <w:rsid w:val="0028190A"/>
    <w:rsid w:val="002B3365"/>
    <w:rsid w:val="002C003A"/>
    <w:rsid w:val="002C6990"/>
    <w:rsid w:val="002F399F"/>
    <w:rsid w:val="0032415D"/>
    <w:rsid w:val="0034546B"/>
    <w:rsid w:val="00377BBB"/>
    <w:rsid w:val="003850C1"/>
    <w:rsid w:val="00386CBB"/>
    <w:rsid w:val="00386ED9"/>
    <w:rsid w:val="00390A70"/>
    <w:rsid w:val="003B2CFE"/>
    <w:rsid w:val="003C7F48"/>
    <w:rsid w:val="003E602E"/>
    <w:rsid w:val="00432830"/>
    <w:rsid w:val="00445CD6"/>
    <w:rsid w:val="004768FD"/>
    <w:rsid w:val="00482561"/>
    <w:rsid w:val="004A3AF1"/>
    <w:rsid w:val="004B011D"/>
    <w:rsid w:val="004D603D"/>
    <w:rsid w:val="004D7721"/>
    <w:rsid w:val="005325FB"/>
    <w:rsid w:val="005706D0"/>
    <w:rsid w:val="0059238F"/>
    <w:rsid w:val="0059535F"/>
    <w:rsid w:val="005C73BA"/>
    <w:rsid w:val="005F065C"/>
    <w:rsid w:val="005F2582"/>
    <w:rsid w:val="005F7931"/>
    <w:rsid w:val="0061333C"/>
    <w:rsid w:val="00643B5F"/>
    <w:rsid w:val="00664588"/>
    <w:rsid w:val="006838CA"/>
    <w:rsid w:val="006B1DFB"/>
    <w:rsid w:val="006B52AB"/>
    <w:rsid w:val="006F6355"/>
    <w:rsid w:val="00704CF4"/>
    <w:rsid w:val="007206C0"/>
    <w:rsid w:val="00754FB5"/>
    <w:rsid w:val="00764AB8"/>
    <w:rsid w:val="00767CBB"/>
    <w:rsid w:val="007850A7"/>
    <w:rsid w:val="007A7A32"/>
    <w:rsid w:val="008138F7"/>
    <w:rsid w:val="00825B1C"/>
    <w:rsid w:val="00827609"/>
    <w:rsid w:val="00843583"/>
    <w:rsid w:val="00867F7E"/>
    <w:rsid w:val="00921317"/>
    <w:rsid w:val="00934B20"/>
    <w:rsid w:val="009802AD"/>
    <w:rsid w:val="009810DB"/>
    <w:rsid w:val="00993DFF"/>
    <w:rsid w:val="009960E5"/>
    <w:rsid w:val="009B3DB2"/>
    <w:rsid w:val="009C6624"/>
    <w:rsid w:val="009D2FE1"/>
    <w:rsid w:val="00A73456"/>
    <w:rsid w:val="00AB1481"/>
    <w:rsid w:val="00AB279D"/>
    <w:rsid w:val="00AC54D4"/>
    <w:rsid w:val="00AC6CE2"/>
    <w:rsid w:val="00AF5714"/>
    <w:rsid w:val="00AF7B14"/>
    <w:rsid w:val="00B122EA"/>
    <w:rsid w:val="00B31B65"/>
    <w:rsid w:val="00B327E1"/>
    <w:rsid w:val="00B758D0"/>
    <w:rsid w:val="00B91635"/>
    <w:rsid w:val="00BC0172"/>
    <w:rsid w:val="00BC27B1"/>
    <w:rsid w:val="00BC3E5C"/>
    <w:rsid w:val="00C11165"/>
    <w:rsid w:val="00C12F86"/>
    <w:rsid w:val="00C226B5"/>
    <w:rsid w:val="00C26600"/>
    <w:rsid w:val="00C46C03"/>
    <w:rsid w:val="00C710B6"/>
    <w:rsid w:val="00C76F6E"/>
    <w:rsid w:val="00C8336E"/>
    <w:rsid w:val="00D01AE1"/>
    <w:rsid w:val="00D04E7C"/>
    <w:rsid w:val="00D124D8"/>
    <w:rsid w:val="00D52618"/>
    <w:rsid w:val="00D53ECB"/>
    <w:rsid w:val="00DB2AFC"/>
    <w:rsid w:val="00DC27AC"/>
    <w:rsid w:val="00DE7005"/>
    <w:rsid w:val="00E26E58"/>
    <w:rsid w:val="00E5240F"/>
    <w:rsid w:val="00E90A05"/>
    <w:rsid w:val="00EB54F4"/>
    <w:rsid w:val="00ED7518"/>
    <w:rsid w:val="00F16507"/>
    <w:rsid w:val="00F2252E"/>
    <w:rsid w:val="00F243D9"/>
    <w:rsid w:val="00F53416"/>
    <w:rsid w:val="00F573E7"/>
    <w:rsid w:val="00F6769B"/>
    <w:rsid w:val="00F94F2B"/>
    <w:rsid w:val="00FA5430"/>
    <w:rsid w:val="00FA612F"/>
    <w:rsid w:val="00FB41A8"/>
    <w:rsid w:val="00FC0215"/>
    <w:rsid w:val="00FD28A4"/>
    <w:rsid w:val="0C490D7F"/>
    <w:rsid w:val="4B8B0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301</Words>
  <Characters>1717</Characters>
  <Lines>14</Lines>
  <Paragraphs>4</Paragraphs>
  <TotalTime>0</TotalTime>
  <ScaleCrop>false</ScaleCrop>
  <LinksUpToDate>false</LinksUpToDate>
  <CharactersWithSpaces>2014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2014-07-09T06:35:00Z</dcterms:created>
  <dc:creator>User</dc:creator>
  <cp:lastModifiedBy>TF-PC</cp:lastModifiedBy>
  <dcterms:modified xsi:type="dcterms:W3CDTF">2018-08-27T09:40:53Z</dcterms:modified>
  <dc:title>天津市河西区人民法院</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