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_GB2312" w:eastAsia="楷体_GB2312"/>
          <w:sz w:val="44"/>
          <w:szCs w:val="44"/>
        </w:rPr>
      </w:pPr>
      <w:bookmarkStart w:id="0" w:name="_GoBack"/>
      <w:bookmarkEnd w:id="0"/>
      <w:r>
        <w:rPr>
          <w:rFonts w:hint="eastAsia" w:ascii="楷体_GB2312" w:eastAsia="楷体_GB2312"/>
          <w:sz w:val="44"/>
          <w:szCs w:val="44"/>
        </w:rPr>
        <w:t>天津市河西区人民法院</w:t>
      </w:r>
    </w:p>
    <w:p>
      <w:pPr>
        <w:jc w:val="center"/>
        <w:rPr>
          <w:rFonts w:hint="eastAsia"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刑 事 判 决 书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right="160"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（201</w:t>
      </w:r>
      <w:r>
        <w:rPr>
          <w:rFonts w:hint="eastAsia"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）西刑初</w:t>
      </w:r>
      <w:r>
        <w:rPr>
          <w:rFonts w:hint="eastAsia" w:eastAsia="仿宋_GB2312"/>
          <w:sz w:val="32"/>
          <w:szCs w:val="32"/>
        </w:rPr>
        <w:t>字</w:t>
      </w:r>
      <w:r>
        <w:rPr>
          <w:rFonts w:eastAsia="仿宋_GB2312"/>
          <w:sz w:val="32"/>
          <w:szCs w:val="32"/>
        </w:rPr>
        <w:t>第</w:t>
      </w:r>
      <w:r>
        <w:rPr>
          <w:rFonts w:hint="eastAsia" w:eastAsia="仿宋_GB2312"/>
          <w:sz w:val="32"/>
          <w:szCs w:val="32"/>
        </w:rPr>
        <w:t>293</w:t>
      </w:r>
      <w:r>
        <w:rPr>
          <w:rFonts w:eastAsia="仿宋_GB2312"/>
          <w:sz w:val="32"/>
          <w:szCs w:val="32"/>
        </w:rPr>
        <w:t>号</w:t>
      </w:r>
    </w:p>
    <w:p>
      <w:pPr>
        <w:spacing w:line="50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widowControl/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widowControl/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  <w:lang w:val="zh-CN"/>
        </w:rPr>
      </w:pPr>
      <w:r>
        <w:rPr>
          <w:rFonts w:eastAsia="仿宋_GB2312"/>
          <w:kern w:val="0"/>
          <w:sz w:val="32"/>
          <w:szCs w:val="32"/>
        </w:rPr>
        <w:t>被告人吕楠，</w:t>
      </w:r>
      <w:r>
        <w:rPr>
          <w:rFonts w:eastAsia="仿宋_GB2312"/>
          <w:kern w:val="0"/>
          <w:sz w:val="32"/>
          <w:szCs w:val="32"/>
          <w:lang w:val="zh-CN"/>
        </w:rPr>
        <w:t>男，1980年11月3日出生，公民身份号码：120102198011031710，汉族，大学文化，天津通世企业鸿扬工艺品有限公司职员，住天津市东丽区津北公路龙城里8号楼3门202室，户籍地天津市河东区广宁路团结东里16号楼2门203号。2013年5月21日因涉嫌信用卡诈骗罪被天津市公安局河西分局刑事拘留，2013年5月24日因涉嫌信用卡诈骗罪被天津市公安局河西分局取保候审。2013年6月13日因涉嫌信用卡诈骗罪经</w:t>
      </w:r>
      <w:r>
        <w:rPr>
          <w:rFonts w:hint="eastAsia" w:eastAsia="仿宋_GB2312"/>
          <w:kern w:val="0"/>
          <w:sz w:val="32"/>
          <w:szCs w:val="32"/>
          <w:lang w:val="zh-CN"/>
        </w:rPr>
        <w:t>天津市</w:t>
      </w:r>
      <w:r>
        <w:rPr>
          <w:rFonts w:eastAsia="仿宋_GB2312"/>
          <w:kern w:val="0"/>
          <w:sz w:val="32"/>
          <w:szCs w:val="32"/>
          <w:lang w:val="zh-CN"/>
        </w:rPr>
        <w:t>河西区</w:t>
      </w:r>
      <w:r>
        <w:rPr>
          <w:rFonts w:hint="eastAsia" w:eastAsia="仿宋_GB2312"/>
          <w:kern w:val="0"/>
          <w:sz w:val="32"/>
          <w:szCs w:val="32"/>
          <w:lang w:val="zh-CN"/>
        </w:rPr>
        <w:t>人民</w:t>
      </w:r>
      <w:r>
        <w:rPr>
          <w:rFonts w:eastAsia="仿宋_GB2312"/>
          <w:kern w:val="0"/>
          <w:sz w:val="32"/>
          <w:szCs w:val="32"/>
          <w:lang w:val="zh-CN"/>
        </w:rPr>
        <w:t>检察院取保候审，同日由天津市公安局河西分局执行。</w:t>
      </w:r>
    </w:p>
    <w:p>
      <w:pPr>
        <w:widowControl/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  <w:lang w:val="zh-CN"/>
        </w:rPr>
      </w:pPr>
      <w:r>
        <w:rPr>
          <w:rFonts w:eastAsia="仿宋_GB2312"/>
          <w:kern w:val="0"/>
          <w:sz w:val="32"/>
          <w:szCs w:val="32"/>
          <w:lang w:val="zh-CN"/>
        </w:rPr>
        <w:t>辩护人张永庆，天津长天律师事务所律师。</w:t>
      </w:r>
    </w:p>
    <w:p>
      <w:pPr>
        <w:widowControl/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天津市河西区人民检察院以津西检刑诉[2013]214号起诉书指控被告人吕楠犯信用卡诈骗罪，于2013年7月8日向本院提起公诉。本院依法适用简易程序，实行独任审判，公开开庭审理了本案。天津市河西区人民检察院指派代理检察员马颖出庭支持公诉，被告人吕楠及辩护人张永庆到庭参加了诉讼。现已审理终结。</w:t>
      </w:r>
    </w:p>
    <w:p>
      <w:pPr>
        <w:widowControl/>
        <w:snapToGrid w:val="0"/>
        <w:spacing w:line="500" w:lineRule="exact"/>
        <w:ind w:firstLine="645"/>
        <w:rPr>
          <w:rFonts w:eastAsia="仿宋_GB2312"/>
          <w:kern w:val="0"/>
          <w:sz w:val="32"/>
          <w:szCs w:val="32"/>
          <w:lang w:val="zh-CN"/>
        </w:rPr>
      </w:pPr>
      <w:r>
        <w:rPr>
          <w:rFonts w:eastAsia="仿宋_GB2312"/>
          <w:kern w:val="0"/>
          <w:sz w:val="32"/>
          <w:szCs w:val="32"/>
        </w:rPr>
        <w:t>天津市河西区人民检察院指控，</w:t>
      </w:r>
      <w:r>
        <w:rPr>
          <w:rFonts w:eastAsia="仿宋_GB2312"/>
          <w:kern w:val="0"/>
          <w:sz w:val="32"/>
          <w:szCs w:val="32"/>
          <w:lang w:val="zh-CN"/>
        </w:rPr>
        <w:t>2010年9月，被告人吕楠在中国民生银行申请了卡号为4218717000913599的信用卡。自2010年11月至2013年5月间恶意透支人民币51718.41元用于个人消费，经银行多次催收拒不还款。2013年5月21日被告人吕楠被抓获。</w:t>
      </w:r>
    </w:p>
    <w:p>
      <w:pPr>
        <w:widowControl/>
        <w:snapToGrid w:val="0"/>
        <w:spacing w:line="500" w:lineRule="exact"/>
        <w:ind w:firstLine="645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  <w:lang w:val="zh-CN"/>
        </w:rPr>
        <w:t>2013年5月23日被告人吕楠归还中国民生银行全部欠款。</w:t>
      </w:r>
    </w:p>
    <w:p>
      <w:pPr>
        <w:spacing w:line="500" w:lineRule="exact"/>
        <w:ind w:firstLine="627" w:firstLineChars="196"/>
        <w:rPr>
          <w:rFonts w:eastAsia="仿宋_GB2312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上述事实，被告人吕楠在开庭审理过程中亦无异议，表示认罪。</w:t>
      </w:r>
      <w:r>
        <w:rPr>
          <w:rFonts w:eastAsia="仿宋_GB2312"/>
          <w:sz w:val="32"/>
          <w:szCs w:val="32"/>
        </w:rPr>
        <w:t>且有被害单位成某陈述，银行报案材料、信用卡申领表，银行催收历史记录，信用卡消费帐单，还款证明，</w:t>
      </w:r>
      <w:r>
        <w:rPr>
          <w:rFonts w:eastAsia="仿宋_GB2312"/>
          <w:kern w:val="0"/>
          <w:sz w:val="32"/>
          <w:szCs w:val="32"/>
        </w:rPr>
        <w:t>被告人吕楠的户籍材料、</w:t>
      </w:r>
      <w:r>
        <w:rPr>
          <w:rFonts w:eastAsia="仿宋_GB2312"/>
          <w:sz w:val="32"/>
          <w:szCs w:val="32"/>
        </w:rPr>
        <w:t>案件来源及抓获经过等证据证实，足以认定。</w:t>
      </w:r>
    </w:p>
    <w:p>
      <w:pPr>
        <w:widowControl/>
        <w:snapToGrid w:val="0"/>
        <w:spacing w:line="500" w:lineRule="exact"/>
        <w:ind w:firstLine="645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本院认为，被告人吕楠法制观念淡薄，使用信用卡消费透支，超过规定期限并经发卡银行催收后仍不归还，透支共计人民币51718.41元，数额较大，其行为已构成信用卡诈骗罪。庭审中辩护人提出被告人吕楠此次犯罪系初犯，自愿认罪，真诚悔罪，建议法庭从轻处罚的辩护意见，较为客观，本院予以采纳。</w:t>
      </w:r>
      <w:r>
        <w:rPr>
          <w:rFonts w:eastAsia="仿宋_GB2312"/>
          <w:sz w:val="32"/>
          <w:szCs w:val="32"/>
        </w:rPr>
        <w:t>为严肃国家法律，维护金融管理秩序，</w:t>
      </w:r>
      <w:r>
        <w:rPr>
          <w:rFonts w:eastAsia="仿宋_GB2312"/>
          <w:bCs/>
          <w:kern w:val="0"/>
          <w:sz w:val="32"/>
          <w:szCs w:val="32"/>
          <w:lang w:val="zh-CN"/>
        </w:rPr>
        <w:t>保护公私财产权利不受侵犯。</w:t>
      </w:r>
      <w:r>
        <w:rPr>
          <w:rFonts w:eastAsia="仿宋_GB2312"/>
          <w:sz w:val="32"/>
          <w:szCs w:val="32"/>
        </w:rPr>
        <w:t>同时考虑，被告人</w:t>
      </w:r>
      <w:r>
        <w:rPr>
          <w:rFonts w:eastAsia="仿宋_GB2312"/>
          <w:kern w:val="0"/>
          <w:sz w:val="32"/>
          <w:szCs w:val="32"/>
        </w:rPr>
        <w:t>吕楠能归还全部欠款，</w:t>
      </w:r>
      <w:r>
        <w:rPr>
          <w:rFonts w:eastAsia="仿宋_GB2312"/>
          <w:sz w:val="32"/>
          <w:szCs w:val="32"/>
        </w:rPr>
        <w:t>认罪态度较好，具有悔罪表现之情节，</w:t>
      </w:r>
      <w:r>
        <w:rPr>
          <w:rFonts w:eastAsia="仿宋_GB2312"/>
          <w:kern w:val="0"/>
          <w:sz w:val="32"/>
          <w:szCs w:val="32"/>
        </w:rPr>
        <w:t>依照《中华人民共和国刑法》第一百九十六条第一款第（四）项、第二款、</w:t>
      </w:r>
      <w:r>
        <w:rPr>
          <w:rFonts w:eastAsia="仿宋_GB2312"/>
          <w:bCs/>
          <w:sz w:val="32"/>
          <w:szCs w:val="32"/>
        </w:rPr>
        <w:t>第七十二条第一款、第三款、第七十三条第二款、第三款、第七十五条、第七十六条</w:t>
      </w:r>
      <w:r>
        <w:rPr>
          <w:rFonts w:eastAsia="仿宋_GB2312"/>
          <w:kern w:val="0"/>
          <w:sz w:val="32"/>
          <w:szCs w:val="32"/>
        </w:rPr>
        <w:t>之规定，判决如下：</w:t>
      </w:r>
    </w:p>
    <w:p>
      <w:pPr>
        <w:spacing w:line="50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被告人吕楠犯信用卡诈骗罪，判处有期徒刑一年六个月，缓刑一年六个月，罚金人民币20000元（已交纳）。</w:t>
      </w:r>
      <w:r>
        <w:rPr>
          <w:rFonts w:eastAsia="仿宋_GB2312"/>
          <w:sz w:val="32"/>
          <w:szCs w:val="32"/>
        </w:rPr>
        <w:t>在（刑罚）执行期间，被告人</w:t>
      </w:r>
      <w:r>
        <w:rPr>
          <w:rFonts w:hint="eastAsia" w:eastAsia="仿宋_GB2312"/>
          <w:sz w:val="32"/>
          <w:szCs w:val="32"/>
        </w:rPr>
        <w:t>吕楠</w:t>
      </w:r>
      <w:r>
        <w:rPr>
          <w:rFonts w:eastAsia="仿宋_GB2312"/>
          <w:sz w:val="32"/>
          <w:szCs w:val="32"/>
        </w:rPr>
        <w:t>应当接受相关组织的社区矫正。</w:t>
      </w:r>
    </w:p>
    <w:p>
      <w:pPr>
        <w:widowControl/>
        <w:snapToGrid w:val="0"/>
        <w:spacing w:line="500" w:lineRule="exact"/>
        <w:ind w:firstLine="645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sz w:val="32"/>
          <w:szCs w:val="32"/>
        </w:rPr>
        <w:t>（缓刑考验期限，从判决确定之日起计算。）</w:t>
      </w:r>
    </w:p>
    <w:p>
      <w:pPr>
        <w:widowControl/>
        <w:snapToGrid w:val="0"/>
        <w:spacing w:line="500" w:lineRule="exact"/>
        <w:ind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如不服本判决，可在接到判决书的第二日起十日内，通过本院或者直接向天津市第二中级人民法院提出上诉。书面上诉的，应交上诉状正本一份，副本两份。</w:t>
      </w:r>
    </w:p>
    <w:p>
      <w:pPr>
        <w:widowControl/>
        <w:snapToGrid w:val="0"/>
        <w:spacing w:line="480" w:lineRule="exact"/>
        <w:ind w:firstLine="640"/>
        <w:rPr>
          <w:rFonts w:hint="eastAsia" w:eastAsia="仿宋_GB2312"/>
          <w:kern w:val="0"/>
          <w:sz w:val="32"/>
          <w:szCs w:val="32"/>
        </w:rPr>
      </w:pPr>
      <w:r>
        <w:rPr>
          <w:rFonts w:hint="eastAsia" w:eastAsia="仿宋_GB2312"/>
          <w:kern w:val="0"/>
          <w:sz w:val="32"/>
          <w:szCs w:val="32"/>
        </w:rPr>
        <w:t>（此页无正文）</w:t>
      </w:r>
    </w:p>
    <w:p>
      <w:pPr>
        <w:widowControl/>
        <w:snapToGrid w:val="0"/>
        <w:spacing w:line="480" w:lineRule="exact"/>
        <w:ind w:firstLine="640"/>
        <w:rPr>
          <w:rFonts w:eastAsia="仿宋_GB2312"/>
          <w:kern w:val="0"/>
          <w:sz w:val="32"/>
          <w:szCs w:val="32"/>
        </w:rPr>
      </w:pPr>
    </w:p>
    <w:p>
      <w:pPr>
        <w:widowControl/>
        <w:wordWrap w:val="0"/>
        <w:snapToGrid w:val="0"/>
        <w:spacing w:line="480" w:lineRule="exact"/>
        <w:ind w:firstLine="645"/>
        <w:jc w:val="right"/>
        <w:rPr>
          <w:rFonts w:hint="eastAsia"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 xml:space="preserve">审  判  员      </w:t>
      </w:r>
      <w:r>
        <w:rPr>
          <w:rFonts w:hint="eastAsia" w:eastAsia="仿宋_GB2312"/>
          <w:kern w:val="0"/>
          <w:sz w:val="32"/>
          <w:szCs w:val="32"/>
        </w:rPr>
        <w:t>李学智</w:t>
      </w:r>
    </w:p>
    <w:p>
      <w:pPr>
        <w:widowControl/>
        <w:snapToGrid w:val="0"/>
        <w:spacing w:line="480" w:lineRule="exact"/>
        <w:ind w:firstLine="645"/>
        <w:jc w:val="right"/>
        <w:rPr>
          <w:rFonts w:eastAsia="仿宋_GB2312"/>
          <w:kern w:val="0"/>
          <w:sz w:val="32"/>
          <w:szCs w:val="32"/>
        </w:rPr>
      </w:pPr>
    </w:p>
    <w:p>
      <w:pPr>
        <w:widowControl/>
        <w:snapToGrid w:val="0"/>
        <w:spacing w:line="480" w:lineRule="exact"/>
        <w:ind w:firstLine="645"/>
        <w:jc w:val="right"/>
        <w:rPr>
          <w:rFonts w:hint="eastAsia"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                          二</w:t>
      </w:r>
      <w:r>
        <w:rPr>
          <w:kern w:val="0"/>
          <w:sz w:val="32"/>
          <w:szCs w:val="32"/>
        </w:rPr>
        <w:t>〇</w:t>
      </w:r>
      <w:r>
        <w:rPr>
          <w:rFonts w:eastAsia="仿宋_GB2312"/>
          <w:kern w:val="0"/>
          <w:sz w:val="32"/>
          <w:szCs w:val="32"/>
        </w:rPr>
        <w:t>一</w:t>
      </w:r>
      <w:r>
        <w:rPr>
          <w:rFonts w:hint="eastAsia" w:eastAsia="仿宋_GB2312"/>
          <w:kern w:val="0"/>
          <w:sz w:val="32"/>
          <w:szCs w:val="32"/>
        </w:rPr>
        <w:t>三</w:t>
      </w:r>
      <w:r>
        <w:rPr>
          <w:rFonts w:eastAsia="仿宋_GB2312"/>
          <w:kern w:val="0"/>
          <w:sz w:val="32"/>
          <w:szCs w:val="32"/>
        </w:rPr>
        <w:t>年</w:t>
      </w:r>
      <w:r>
        <w:rPr>
          <w:rFonts w:hint="eastAsia" w:eastAsia="仿宋_GB2312"/>
          <w:kern w:val="0"/>
          <w:sz w:val="32"/>
          <w:szCs w:val="32"/>
        </w:rPr>
        <w:t>七</w:t>
      </w:r>
      <w:r>
        <w:rPr>
          <w:rFonts w:eastAsia="仿宋_GB2312"/>
          <w:kern w:val="0"/>
          <w:sz w:val="32"/>
          <w:szCs w:val="32"/>
        </w:rPr>
        <w:t>月</w:t>
      </w:r>
      <w:r>
        <w:rPr>
          <w:rFonts w:hint="eastAsia" w:eastAsia="仿宋_GB2312"/>
          <w:kern w:val="0"/>
          <w:sz w:val="32"/>
          <w:szCs w:val="32"/>
        </w:rPr>
        <w:t>十九</w:t>
      </w:r>
      <w:r>
        <w:rPr>
          <w:rFonts w:eastAsia="仿宋_GB2312"/>
          <w:kern w:val="0"/>
          <w:sz w:val="32"/>
          <w:szCs w:val="32"/>
        </w:rPr>
        <w:t>日</w:t>
      </w:r>
    </w:p>
    <w:p>
      <w:pPr>
        <w:widowControl/>
        <w:snapToGrid w:val="0"/>
        <w:spacing w:line="480" w:lineRule="exact"/>
        <w:ind w:firstLine="645"/>
        <w:jc w:val="right"/>
        <w:rPr>
          <w:rFonts w:hint="eastAsia" w:eastAsia="仿宋_GB2312"/>
          <w:kern w:val="0"/>
          <w:sz w:val="32"/>
          <w:szCs w:val="32"/>
        </w:rPr>
      </w:pPr>
    </w:p>
    <w:p>
      <w:pPr>
        <w:widowControl/>
        <w:wordWrap w:val="0"/>
        <w:snapToGrid w:val="0"/>
        <w:spacing w:line="480" w:lineRule="exact"/>
        <w:ind w:firstLine="645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 xml:space="preserve">                          书  记  员      </w:t>
      </w:r>
      <w:r>
        <w:rPr>
          <w:rFonts w:hint="eastAsia" w:eastAsia="仿宋_GB2312"/>
          <w:kern w:val="0"/>
          <w:sz w:val="32"/>
          <w:szCs w:val="32"/>
        </w:rPr>
        <w:t>张  培</w:t>
      </w:r>
    </w:p>
    <w:p>
      <w:pPr>
        <w:widowControl/>
        <w:wordWrap w:val="0"/>
        <w:snapToGrid w:val="0"/>
        <w:spacing w:line="480" w:lineRule="exact"/>
        <w:ind w:firstLine="645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                         </w:t>
      </w:r>
      <w:r>
        <w:rPr>
          <w:rFonts w:hint="eastAsia" w:eastAsia="仿宋_GB2312"/>
          <w:kern w:val="0"/>
          <w:sz w:val="32"/>
          <w:szCs w:val="32"/>
        </w:rPr>
        <w:t xml:space="preserve">         </w:t>
      </w:r>
      <w:r>
        <w:rPr>
          <w:rFonts w:eastAsia="仿宋_GB2312"/>
          <w:kern w:val="0"/>
          <w:sz w:val="32"/>
          <w:szCs w:val="32"/>
        </w:rPr>
        <w:t xml:space="preserve"> </w:t>
      </w:r>
      <w:r>
        <w:rPr>
          <w:rFonts w:hint="eastAsia" w:eastAsia="仿宋_GB2312"/>
          <w:kern w:val="0"/>
          <w:sz w:val="32"/>
          <w:szCs w:val="32"/>
        </w:rPr>
        <w:t xml:space="preserve">   </w:t>
      </w:r>
      <w:r>
        <w:rPr>
          <w:rFonts w:eastAsia="仿宋_GB2312"/>
          <w:kern w:val="0"/>
          <w:sz w:val="32"/>
          <w:szCs w:val="32"/>
        </w:rPr>
        <w:t xml:space="preserve">速 </w:t>
      </w:r>
      <w:r>
        <w:rPr>
          <w:rFonts w:hint="eastAsia" w:eastAsia="仿宋_GB2312"/>
          <w:kern w:val="0"/>
          <w:sz w:val="32"/>
          <w:szCs w:val="32"/>
        </w:rPr>
        <w:t xml:space="preserve"> </w:t>
      </w:r>
      <w:r>
        <w:rPr>
          <w:rFonts w:eastAsia="仿宋_GB2312"/>
          <w:kern w:val="0"/>
          <w:sz w:val="32"/>
          <w:szCs w:val="32"/>
        </w:rPr>
        <w:t>录</w:t>
      </w:r>
      <w:r>
        <w:rPr>
          <w:rFonts w:hint="eastAsia" w:eastAsia="仿宋_GB2312"/>
          <w:kern w:val="0"/>
          <w:sz w:val="32"/>
          <w:szCs w:val="32"/>
        </w:rPr>
        <w:t xml:space="preserve">  员      王  欣</w:t>
      </w:r>
      <w:r>
        <w:rPr>
          <w:rFonts w:eastAsia="仿宋_GB2312"/>
          <w:kern w:val="0"/>
          <w:sz w:val="32"/>
          <w:szCs w:val="32"/>
        </w:rPr>
        <w:t xml:space="preserve">      </w:t>
      </w:r>
    </w:p>
    <w:p>
      <w:pPr>
        <w:rPr>
          <w:rFonts w:hint="eastAsia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64F0"/>
    <w:rsid w:val="0005644D"/>
    <w:rsid w:val="00086235"/>
    <w:rsid w:val="00087D26"/>
    <w:rsid w:val="000A71AF"/>
    <w:rsid w:val="000E64F0"/>
    <w:rsid w:val="001A0D9D"/>
    <w:rsid w:val="001C3DBC"/>
    <w:rsid w:val="001C65CF"/>
    <w:rsid w:val="00291440"/>
    <w:rsid w:val="002940C9"/>
    <w:rsid w:val="003E06FC"/>
    <w:rsid w:val="003E0B87"/>
    <w:rsid w:val="00500B12"/>
    <w:rsid w:val="005E2566"/>
    <w:rsid w:val="00606D04"/>
    <w:rsid w:val="00687934"/>
    <w:rsid w:val="006F0B8B"/>
    <w:rsid w:val="007A421D"/>
    <w:rsid w:val="007E2013"/>
    <w:rsid w:val="007F3A40"/>
    <w:rsid w:val="007F3AFA"/>
    <w:rsid w:val="00807DFB"/>
    <w:rsid w:val="008438AA"/>
    <w:rsid w:val="008513E1"/>
    <w:rsid w:val="008E76C8"/>
    <w:rsid w:val="009D3793"/>
    <w:rsid w:val="00A22B7B"/>
    <w:rsid w:val="00A415AF"/>
    <w:rsid w:val="00A432DF"/>
    <w:rsid w:val="00A57209"/>
    <w:rsid w:val="00A60E17"/>
    <w:rsid w:val="00A62849"/>
    <w:rsid w:val="00A862B6"/>
    <w:rsid w:val="00AF37B7"/>
    <w:rsid w:val="00AF75B0"/>
    <w:rsid w:val="00B102C5"/>
    <w:rsid w:val="00B1772B"/>
    <w:rsid w:val="00B201B1"/>
    <w:rsid w:val="00B26CCB"/>
    <w:rsid w:val="00B46F5E"/>
    <w:rsid w:val="00BA3640"/>
    <w:rsid w:val="00BF1607"/>
    <w:rsid w:val="00C02AB0"/>
    <w:rsid w:val="00C5622C"/>
    <w:rsid w:val="00C76C98"/>
    <w:rsid w:val="00C83619"/>
    <w:rsid w:val="00D9226E"/>
    <w:rsid w:val="00EF2F8C"/>
    <w:rsid w:val="00F70B55"/>
    <w:rsid w:val="00F7622F"/>
    <w:rsid w:val="00FE4674"/>
    <w:rsid w:val="06533EB8"/>
    <w:rsid w:val="18056964"/>
    <w:rsid w:val="210D4822"/>
    <w:rsid w:val="534A68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link w:val="6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  <w:szCs w:val="20"/>
    </w:rPr>
  </w:style>
  <w:style w:type="paragraph" w:styleId="3">
    <w:name w:val="Date"/>
    <w:basedOn w:val="1"/>
    <w:next w:val="1"/>
    <w:uiPriority w:val="0"/>
    <w:pPr>
      <w:ind w:left="100" w:leftChars="25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6">
    <w:name w:val="Char"/>
    <w:basedOn w:val="1"/>
    <w:link w:val="5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styleId="7">
    <w:name w:val="page number"/>
    <w:basedOn w:val="5"/>
    <w:qFormat/>
    <w:uiPriority w:val="0"/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MC SYSTEM</Company>
  <Pages>1</Pages>
  <Words>203</Words>
  <Characters>1163</Characters>
  <Lines>9</Lines>
  <Paragraphs>2</Paragraphs>
  <TotalTime>0</TotalTime>
  <ScaleCrop>false</ScaleCrop>
  <LinksUpToDate>false</LinksUpToDate>
  <CharactersWithSpaces>1364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2013-07-17T02:31:00Z</dcterms:created>
  <dc:creator>MC SYSTEM</dc:creator>
  <cp:lastModifiedBy>TF-PC</cp:lastModifiedBy>
  <dcterms:modified xsi:type="dcterms:W3CDTF">2018-08-27T09:41:09Z</dcterms:modified>
  <dc:title>天津市河西区人民法院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