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560" w:lineRule="exact"/>
        <w:jc w:val="center"/>
        <w:rPr>
          <w:rFonts w:hint="eastAsia" w:ascii="宋体" w:hAnsi="宋体"/>
          <w:sz w:val="44"/>
          <w:szCs w:val="44"/>
        </w:rPr>
      </w:pPr>
      <w:bookmarkStart w:id="0" w:name="_GoBack"/>
      <w:bookmarkEnd w:id="0"/>
    </w:p>
    <w:p>
      <w:pPr>
        <w:spacing w:line="560" w:lineRule="exact"/>
        <w:jc w:val="center"/>
        <w:rPr>
          <w:rFonts w:hint="eastAsia" w:ascii="宋体" w:hAnsi="宋体"/>
          <w:sz w:val="44"/>
          <w:szCs w:val="44"/>
        </w:rPr>
      </w:pPr>
    </w:p>
    <w:p>
      <w:pPr>
        <w:spacing w:line="560" w:lineRule="exact"/>
        <w:jc w:val="center"/>
        <w:rPr>
          <w:rFonts w:hint="eastAsia" w:ascii="方正小标宋简体" w:hAnsi="宋体" w:eastAsia="方正小标宋简体"/>
          <w:sz w:val="44"/>
          <w:szCs w:val="44"/>
        </w:rPr>
      </w:pPr>
      <w:r>
        <w:rPr>
          <w:rFonts w:hint="eastAsia" w:ascii="方正小标宋简体" w:hAnsi="宋体" w:eastAsia="方正小标宋简体"/>
          <w:sz w:val="44"/>
          <w:szCs w:val="44"/>
        </w:rPr>
        <w:t>天津市武清区人民法院</w:t>
      </w:r>
    </w:p>
    <w:p>
      <w:pPr>
        <w:spacing w:line="560" w:lineRule="exact"/>
        <w:jc w:val="center"/>
        <w:rPr>
          <w:rFonts w:hint="eastAsia" w:ascii="方正小标宋简体" w:hAnsi="宋体" w:eastAsia="方正小标宋简体"/>
          <w:sz w:val="44"/>
          <w:szCs w:val="44"/>
        </w:rPr>
      </w:pPr>
      <w:r>
        <w:rPr>
          <w:rFonts w:hint="eastAsia" w:ascii="方正小标宋简体" w:hAnsi="宋体" w:eastAsia="方正小标宋简体"/>
          <w:sz w:val="44"/>
          <w:szCs w:val="44"/>
        </w:rPr>
        <w:t>刑 事 判 决 书</w:t>
      </w:r>
    </w:p>
    <w:p>
      <w:pPr>
        <w:spacing w:line="560" w:lineRule="exact"/>
        <w:jc w:val="center"/>
        <w:rPr>
          <w:rFonts w:hint="eastAsia" w:ascii="仿宋_GB2312" w:eastAsia="仿宋_GB2312"/>
          <w:sz w:val="32"/>
        </w:rPr>
      </w:pPr>
      <w:r>
        <w:rPr>
          <w:rFonts w:hint="eastAsia" w:ascii="仿宋_GB2312" w:eastAsia="仿宋_GB2312"/>
          <w:sz w:val="32"/>
        </w:rPr>
        <w:t xml:space="preserve">                          </w:t>
      </w:r>
    </w:p>
    <w:p>
      <w:pPr>
        <w:spacing w:line="560" w:lineRule="exact"/>
        <w:jc w:val="center"/>
        <w:rPr>
          <w:rFonts w:hint="eastAsia" w:ascii="仿宋_GB2312" w:eastAsia="仿宋_GB2312"/>
          <w:sz w:val="32"/>
        </w:rPr>
      </w:pPr>
      <w:r>
        <w:rPr>
          <w:rFonts w:hint="eastAsia" w:ascii="仿宋_GB2312" w:eastAsia="仿宋_GB2312"/>
          <w:sz w:val="32"/>
        </w:rPr>
        <w:t xml:space="preserve">                     （2017）津0114刑初209号</w:t>
      </w:r>
    </w:p>
    <w:p>
      <w:pPr>
        <w:spacing w:line="560" w:lineRule="exact"/>
        <w:ind w:firstLine="622" w:firstLineChars="200"/>
        <w:rPr>
          <w:rFonts w:hint="eastAsia" w:ascii="仿宋_GB2312" w:eastAsia="仿宋_GB2312"/>
          <w:sz w:val="32"/>
        </w:rPr>
      </w:pPr>
    </w:p>
    <w:p>
      <w:pPr>
        <w:spacing w:line="560" w:lineRule="exact"/>
        <w:ind w:firstLine="622" w:firstLineChars="200"/>
        <w:rPr>
          <w:rFonts w:hint="eastAsia" w:ascii="仿宋_GB2312" w:hAnsi="Courier New" w:eastAsia="仿宋_GB2312" w:cs="Courier New"/>
          <w:sz w:val="32"/>
          <w:szCs w:val="21"/>
        </w:rPr>
      </w:pPr>
      <w:r>
        <w:rPr>
          <w:rFonts w:hint="eastAsia" w:ascii="仿宋_GB2312" w:eastAsia="仿宋_GB2312"/>
          <w:sz w:val="32"/>
        </w:rPr>
        <w:t>公诉机关天津市武清区人民检察院。</w:t>
      </w:r>
    </w:p>
    <w:p>
      <w:pPr>
        <w:ind w:firstLine="622" w:firstLineChars="200"/>
        <w:rPr>
          <w:rFonts w:hint="eastAsia" w:ascii="仿宋_GB2312" w:eastAsia="仿宋_GB2312"/>
          <w:sz w:val="32"/>
        </w:rPr>
      </w:pPr>
      <w:r>
        <w:rPr>
          <w:rFonts w:hint="eastAsia" w:ascii="仿宋_GB2312" w:eastAsia="仿宋_GB2312"/>
          <w:sz w:val="32"/>
        </w:rPr>
        <w:t>被告人耿伟，男，1979年1月16日出生于天津市武清区，汉族，群众，初中文化，无业，住武清区杨村六街静安大街9号。有前科，曾因犯故意毁坏财物罪于2012年4月11日被本院判处有期徒刑六个月，缓刑一年。现因涉嫌犯信用卡诈骗罪于2017年2月19日被天津市公安局武清分局刑事拘留，同年2月24日被取保候审，2017年3月9日被天津市武清区人民检察院取保候审。</w:t>
      </w:r>
    </w:p>
    <w:p>
      <w:pPr>
        <w:pStyle w:val="2"/>
        <w:ind w:firstLine="645"/>
        <w:rPr>
          <w:rFonts w:hint="eastAsia" w:ascii="仿宋_GB2312" w:hAnsi="宋体" w:eastAsia="仿宋_GB2312"/>
          <w:sz w:val="32"/>
        </w:rPr>
      </w:pPr>
      <w:r>
        <w:rPr>
          <w:rFonts w:hint="eastAsia" w:ascii="仿宋_GB2312" w:hAnsi="宋体" w:eastAsia="仿宋_GB2312"/>
          <w:sz w:val="32"/>
        </w:rPr>
        <w:t>天津市武清区人民检察院以津武检公诉刑诉[2017]205号起诉书指控被告人耿伟犯信用卡诈骗罪，于2017年3月23日向本院提起公诉。本院于当日立案，并依法适用简易程序，实行独任审判，公开开庭进行了审理。天津市武清区人民检察院指派代理检察员李素敏出庭支持公诉，被告人耿伟到庭参加了诉讼。现已审理终结。</w:t>
      </w:r>
    </w:p>
    <w:p>
      <w:pPr>
        <w:pStyle w:val="2"/>
        <w:ind w:firstLine="645"/>
        <w:rPr>
          <w:rFonts w:hint="eastAsia" w:ascii="仿宋_GB2312" w:eastAsia="仿宋_GB2312"/>
          <w:sz w:val="32"/>
        </w:rPr>
      </w:pPr>
      <w:r>
        <w:rPr>
          <w:rFonts w:hint="eastAsia" w:ascii="仿宋_GB2312" w:eastAsia="仿宋_GB2312"/>
          <w:sz w:val="32"/>
        </w:rPr>
        <w:t xml:space="preserve">天津市武清区人民检察院指控，被告人耿伟于2014年10月14日，在中国光大银行申领卡号为6226580031053792的信用卡，信用额度为15000元，后于2014年10月至2015年11月间，多次使用该信用卡在天津世纪永盛装饰商行、天津市立顺斋餐饮有限公司等处消费透支，共计透支人民币1万2千余元，经发卡行多次催收，被告人耿伟拒不归还。    </w:t>
      </w:r>
    </w:p>
    <w:p>
      <w:pPr>
        <w:pStyle w:val="2"/>
        <w:ind w:firstLine="645"/>
        <w:rPr>
          <w:rFonts w:hint="eastAsia" w:ascii="仿宋_GB2312" w:eastAsia="仿宋_GB2312"/>
          <w:sz w:val="32"/>
        </w:rPr>
      </w:pPr>
      <w:r>
        <w:rPr>
          <w:rFonts w:hint="eastAsia" w:ascii="仿宋_GB2312" w:eastAsia="仿宋_GB2312"/>
          <w:sz w:val="32"/>
        </w:rPr>
        <w:t>被告人耿伟后被抓获。案发后，被告人耿伟家属主动将其所欠中国光大银行的信用卡的欠款全部归还。</w:t>
      </w:r>
    </w:p>
    <w:p>
      <w:pPr>
        <w:pStyle w:val="2"/>
        <w:ind w:firstLine="645"/>
        <w:rPr>
          <w:rFonts w:hint="eastAsia" w:ascii="仿宋_GB2312" w:hAnsi="宋体" w:eastAsia="仿宋_GB2312"/>
          <w:sz w:val="32"/>
        </w:rPr>
      </w:pPr>
      <w:r>
        <w:rPr>
          <w:rFonts w:hint="eastAsia" w:ascii="仿宋_GB2312" w:eastAsia="仿宋_GB2312"/>
          <w:sz w:val="32"/>
        </w:rPr>
        <w:t>上述事实，被告人耿伟在开庭审理中亦无异议，且有</w:t>
      </w:r>
      <w:r>
        <w:rPr>
          <w:rFonts w:hint="eastAsia" w:ascii="仿宋_GB2312" w:hAnsi="宋体" w:eastAsia="仿宋_GB2312"/>
          <w:sz w:val="32"/>
        </w:rPr>
        <w:t>案件来源及抓获经过，</w:t>
      </w:r>
      <w:r>
        <w:rPr>
          <w:rFonts w:hint="eastAsia" w:ascii="仿宋_GB2312" w:hAnsi="宋体" w:eastAsia="仿宋_GB2312" w:cs="Times New Roman"/>
          <w:sz w:val="32"/>
          <w:szCs w:val="24"/>
        </w:rPr>
        <w:t>证人</w:t>
      </w:r>
      <w:r>
        <w:rPr>
          <w:rFonts w:hint="eastAsia" w:ascii="仿宋_GB2312" w:hAnsi="宋体" w:eastAsia="仿宋_GB2312"/>
          <w:sz w:val="32"/>
        </w:rPr>
        <w:t>证言，信用卡恶意透支举报材料、信用卡开卡信息、交易明细、催收记录、结清证明</w:t>
      </w:r>
      <w:r>
        <w:rPr>
          <w:rFonts w:hint="eastAsia" w:ascii="仿宋_GB2312" w:hAnsi="宋体" w:eastAsia="仿宋_GB2312" w:cs="Times New Roman"/>
          <w:sz w:val="32"/>
          <w:szCs w:val="24"/>
        </w:rPr>
        <w:t>，</w:t>
      </w:r>
      <w:r>
        <w:rPr>
          <w:rFonts w:hint="eastAsia" w:ascii="仿宋_GB2312" w:hAnsi="宋体" w:eastAsia="仿宋_GB2312"/>
          <w:sz w:val="32"/>
        </w:rPr>
        <w:t>被告人耿伟前罪判决书等证据予以证明，足以认定。</w:t>
      </w:r>
    </w:p>
    <w:p>
      <w:pPr>
        <w:spacing w:line="520" w:lineRule="exact"/>
        <w:ind w:firstLine="622" w:firstLineChars="200"/>
        <w:rPr>
          <w:rFonts w:hint="eastAsia" w:ascii="仿宋_GB2312" w:eastAsia="仿宋_GB2312"/>
          <w:kern w:val="0"/>
          <w:sz w:val="32"/>
          <w:szCs w:val="30"/>
        </w:rPr>
      </w:pPr>
      <w:r>
        <w:rPr>
          <w:rFonts w:hint="eastAsia" w:ascii="仿宋_GB2312" w:eastAsia="仿宋_GB2312"/>
          <w:kern w:val="0"/>
          <w:sz w:val="32"/>
          <w:szCs w:val="30"/>
        </w:rPr>
        <w:t>本院认为，被告人耿伟以非法占有为目的，在办理信用卡后，多次透支，且超过规定期限拒不还款，经发卡行多次催收，仍拒不归还，属恶意透支，且属数额较大，其行为已构成信用卡诈骗罪。公诉机关对被告人耿伟犯罪的指控成立，要求适用法律条款的意见正确，应予采纳。被告人耿伟在开庭审理中能自愿认罪，认罪态度较好，且已归还所欠银行款项，有悔罪表现，依法均可酌情从轻处罚。被告人耿伟曾因故意犯罪被判刑改造，刑罚执行完毕后又故意犯罪，虽不构成累犯，但依法亦可酌情从重处罚。综上，被告人耿伟犯信用卡诈骗罪，法定量刑幅度为</w:t>
      </w:r>
      <w:r>
        <w:rPr>
          <w:rFonts w:hint="eastAsia" w:ascii="仿宋_GB2312" w:eastAsia="仿宋_GB2312"/>
          <w:sz w:val="32"/>
          <w:szCs w:val="32"/>
        </w:rPr>
        <w:t>五年以下有期徒刑或者拘役，并处二万元以上二十万元以下罚金</w:t>
      </w:r>
      <w:r>
        <w:rPr>
          <w:rFonts w:hint="eastAsia" w:ascii="仿宋_GB2312" w:eastAsia="仿宋_GB2312"/>
          <w:kern w:val="0"/>
          <w:sz w:val="32"/>
          <w:szCs w:val="30"/>
        </w:rPr>
        <w:t>。对公诉人综合案件情况发表的建议判处被告人耿伟有期徒刑六个月至一年，并处罚金的量刑意见，本院予以考虑。本院为维护市场经济秩序，保障国家的金融管理制度和公私财产所有权不受侵犯，打击犯罪，依照《中华人民共和国刑法》第一百九十六条第一款第（四）项、第二款、第七十二条第一款、第三款、第七十三条第二款、第三款的规定，判决如下：</w:t>
      </w:r>
      <w:r>
        <w:rPr>
          <w:rFonts w:hint="eastAsia" w:ascii="仿宋_GB2312" w:eastAsia="仿宋_GB2312"/>
          <w:kern w:val="0"/>
          <w:sz w:val="32"/>
          <w:szCs w:val="30"/>
        </w:rPr>
        <w:cr/>
      </w:r>
      <w:r>
        <w:rPr>
          <w:rFonts w:hint="eastAsia" w:ascii="仿宋_GB2312" w:eastAsia="仿宋_GB2312"/>
          <w:kern w:val="0"/>
          <w:sz w:val="32"/>
          <w:szCs w:val="30"/>
        </w:rPr>
        <w:t xml:space="preserve">    被告人耿伟犯信用卡诈骗罪，判处有期徒刑六个月，缓刑一年，并处罚金人民币25000元（</w:t>
      </w:r>
      <w:r>
        <w:rPr>
          <w:rFonts w:hint="eastAsia" w:ascii="仿宋_GB2312" w:hAnsi="宋体" w:eastAsia="仿宋_GB2312"/>
          <w:sz w:val="32"/>
        </w:rPr>
        <w:t>缓刑考验期限，从判决确定之日起计算；在刑罚执行期间，被告人应当在相关组织接受社区矫正</w:t>
      </w:r>
      <w:r>
        <w:rPr>
          <w:rFonts w:hint="eastAsia" w:ascii="仿宋_GB2312" w:eastAsia="仿宋_GB2312"/>
          <w:kern w:val="0"/>
          <w:sz w:val="32"/>
          <w:szCs w:val="30"/>
        </w:rPr>
        <w:t>）。</w:t>
      </w:r>
    </w:p>
    <w:p>
      <w:pPr>
        <w:spacing w:line="520" w:lineRule="exact"/>
        <w:ind w:firstLine="622" w:firstLineChars="200"/>
        <w:rPr>
          <w:rFonts w:hint="eastAsia" w:ascii="仿宋_GB2312" w:eastAsia="仿宋_GB2312"/>
          <w:kern w:val="0"/>
          <w:sz w:val="32"/>
          <w:szCs w:val="30"/>
        </w:rPr>
      </w:pPr>
      <w:r>
        <w:rPr>
          <w:rFonts w:hint="eastAsia" w:ascii="仿宋_GB2312" w:eastAsia="仿宋_GB2312"/>
          <w:kern w:val="0"/>
          <w:sz w:val="32"/>
          <w:szCs w:val="30"/>
        </w:rPr>
        <w:t>如不服本判决，可在接到判决书的第二日起十日内，通过本院或者直接向天津市第一中级人民法院提出上诉，书面上诉的，应当提交上诉状正本一份、副本一份。</w:t>
      </w:r>
    </w:p>
    <w:p>
      <w:pPr>
        <w:spacing w:line="520" w:lineRule="exact"/>
        <w:ind w:firstLine="622" w:firstLineChars="200"/>
        <w:rPr>
          <w:rFonts w:hint="eastAsia" w:ascii="仿宋_GB2312" w:eastAsia="仿宋_GB2312"/>
          <w:kern w:val="0"/>
          <w:sz w:val="32"/>
          <w:szCs w:val="30"/>
        </w:rPr>
      </w:pPr>
    </w:p>
    <w:p>
      <w:pPr>
        <w:spacing w:line="520" w:lineRule="exact"/>
        <w:ind w:firstLine="622" w:firstLineChars="200"/>
        <w:jc w:val="center"/>
        <w:rPr>
          <w:rFonts w:hint="eastAsia" w:ascii="仿宋_GB2312" w:eastAsia="仿宋_GB2312"/>
          <w:kern w:val="0"/>
          <w:sz w:val="32"/>
          <w:szCs w:val="30"/>
        </w:rPr>
      </w:pPr>
      <w:r>
        <w:rPr>
          <w:rFonts w:hint="eastAsia" w:ascii="仿宋_GB2312" w:eastAsia="仿宋_GB2312"/>
          <w:kern w:val="0"/>
          <w:sz w:val="32"/>
          <w:szCs w:val="30"/>
        </w:rPr>
        <w:t xml:space="preserve">                     </w:t>
      </w:r>
    </w:p>
    <w:p>
      <w:pPr>
        <w:spacing w:line="520" w:lineRule="exact"/>
        <w:ind w:firstLine="622" w:firstLineChars="200"/>
        <w:jc w:val="center"/>
        <w:rPr>
          <w:rFonts w:hint="eastAsia" w:ascii="仿宋_GB2312" w:eastAsia="仿宋_GB2312"/>
          <w:kern w:val="0"/>
          <w:sz w:val="32"/>
          <w:szCs w:val="30"/>
        </w:rPr>
      </w:pPr>
      <w:r>
        <w:rPr>
          <w:rFonts w:hint="eastAsia" w:ascii="仿宋_GB2312" w:eastAsia="仿宋_GB2312"/>
          <w:kern w:val="0"/>
          <w:sz w:val="32"/>
          <w:szCs w:val="30"/>
        </w:rPr>
        <w:t xml:space="preserve">                     审  判  员      李宗莲</w:t>
      </w:r>
    </w:p>
    <w:p>
      <w:pPr>
        <w:spacing w:line="520" w:lineRule="exact"/>
        <w:ind w:firstLine="622" w:firstLineChars="200"/>
        <w:jc w:val="center"/>
        <w:rPr>
          <w:rFonts w:ascii="仿宋_GB2312" w:eastAsia="仿宋_GB2312"/>
          <w:kern w:val="0"/>
          <w:sz w:val="32"/>
          <w:szCs w:val="30"/>
        </w:rPr>
      </w:pPr>
      <w:r>
        <w:rPr>
          <w:rFonts w:hint="eastAsia" w:ascii="仿宋_GB2312" w:eastAsia="仿宋_GB2312"/>
          <w:kern w:val="0"/>
          <w:sz w:val="32"/>
          <w:szCs w:val="30"/>
        </w:rPr>
        <w:t xml:space="preserve">                     </w:t>
      </w:r>
    </w:p>
    <w:p>
      <w:pPr>
        <w:spacing w:line="520" w:lineRule="exact"/>
        <w:ind w:firstLine="622" w:firstLineChars="200"/>
        <w:jc w:val="center"/>
        <w:rPr>
          <w:rFonts w:hint="eastAsia" w:ascii="仿宋_GB2312" w:eastAsia="仿宋_GB2312"/>
          <w:kern w:val="0"/>
          <w:sz w:val="32"/>
          <w:szCs w:val="30"/>
        </w:rPr>
      </w:pPr>
    </w:p>
    <w:p>
      <w:pPr>
        <w:spacing w:line="520" w:lineRule="exact"/>
        <w:ind w:firstLine="622" w:firstLineChars="200"/>
        <w:jc w:val="right"/>
        <w:rPr>
          <w:rFonts w:hint="eastAsia" w:ascii="仿宋_GB2312" w:eastAsia="仿宋_GB2312"/>
          <w:kern w:val="0"/>
          <w:sz w:val="32"/>
          <w:szCs w:val="30"/>
        </w:rPr>
      </w:pPr>
    </w:p>
    <w:p>
      <w:pPr>
        <w:spacing w:line="520" w:lineRule="exact"/>
        <w:ind w:firstLine="622" w:firstLineChars="200"/>
        <w:jc w:val="center"/>
        <w:rPr>
          <w:rFonts w:hint="eastAsia" w:ascii="仿宋_GB2312" w:eastAsia="仿宋_GB2312"/>
          <w:kern w:val="0"/>
          <w:sz w:val="32"/>
          <w:szCs w:val="30"/>
        </w:rPr>
      </w:pPr>
      <w:r>
        <w:rPr>
          <w:rFonts w:hint="eastAsia" w:ascii="仿宋_GB2312" w:eastAsia="仿宋_GB2312"/>
          <w:kern w:val="0"/>
          <w:sz w:val="32"/>
          <w:szCs w:val="30"/>
        </w:rPr>
        <w:t xml:space="preserve">                      二〇一七年 四 月 十 日</w:t>
      </w:r>
    </w:p>
    <w:p>
      <w:pPr>
        <w:spacing w:line="520" w:lineRule="exact"/>
        <w:ind w:firstLine="622" w:firstLineChars="200"/>
        <w:jc w:val="right"/>
        <w:rPr>
          <w:rFonts w:hint="eastAsia" w:ascii="仿宋_GB2312" w:eastAsia="仿宋_GB2312"/>
          <w:kern w:val="0"/>
          <w:sz w:val="32"/>
          <w:szCs w:val="30"/>
        </w:rPr>
      </w:pPr>
    </w:p>
    <w:p>
      <w:pPr>
        <w:spacing w:line="520" w:lineRule="exact"/>
        <w:ind w:firstLine="622" w:firstLineChars="200"/>
        <w:jc w:val="center"/>
        <w:rPr>
          <w:rFonts w:hint="eastAsia" w:ascii="仿宋_GB2312" w:eastAsia="仿宋_GB2312"/>
          <w:kern w:val="0"/>
          <w:sz w:val="32"/>
          <w:szCs w:val="30"/>
        </w:rPr>
      </w:pPr>
      <w:r>
        <w:rPr>
          <w:rFonts w:hint="eastAsia" w:ascii="仿宋_GB2312" w:eastAsia="仿宋_GB2312"/>
          <w:kern w:val="0"/>
          <w:sz w:val="32"/>
          <w:szCs w:val="30"/>
        </w:rPr>
        <w:t xml:space="preserve">                      书  记  员      常忠圆</w:t>
      </w:r>
    </w:p>
    <w:p>
      <w:pPr>
        <w:spacing w:line="520" w:lineRule="exact"/>
        <w:ind w:firstLine="622" w:firstLineChars="200"/>
        <w:jc w:val="center"/>
        <w:rPr>
          <w:rFonts w:hint="eastAsia" w:ascii="仿宋_GB2312" w:eastAsia="仿宋_GB2312"/>
          <w:kern w:val="0"/>
          <w:sz w:val="32"/>
          <w:szCs w:val="30"/>
        </w:rPr>
      </w:pPr>
      <w:r>
        <w:rPr>
          <w:rFonts w:hint="eastAsia" w:ascii="仿宋_GB2312" w:eastAsia="仿宋_GB2312"/>
          <w:kern w:val="0"/>
          <w:sz w:val="32"/>
          <w:szCs w:val="30"/>
        </w:rPr>
        <w:t xml:space="preserve">                      </w:t>
      </w:r>
    </w:p>
    <w:p>
      <w:pPr>
        <w:spacing w:line="520" w:lineRule="exact"/>
        <w:ind w:firstLine="622" w:firstLineChars="200"/>
        <w:rPr>
          <w:rFonts w:hint="eastAsia" w:ascii="仿宋_GB2312" w:eastAsia="仿宋_GB2312"/>
          <w:kern w:val="0"/>
          <w:sz w:val="32"/>
          <w:szCs w:val="30"/>
        </w:rPr>
      </w:pPr>
    </w:p>
    <w:p>
      <w:pPr>
        <w:pStyle w:val="2"/>
        <w:spacing w:line="520" w:lineRule="exact"/>
        <w:ind w:right="640"/>
        <w:rPr>
          <w:rFonts w:hint="eastAsia" w:ascii="仿宋_GB2312" w:hAnsi="Times New Roman" w:eastAsia="仿宋_GB2312" w:cs="Times New Roman"/>
          <w:sz w:val="32"/>
          <w:szCs w:val="32"/>
        </w:rPr>
      </w:pPr>
    </w:p>
    <w:p>
      <w:pPr>
        <w:pStyle w:val="2"/>
        <w:spacing w:line="520" w:lineRule="exact"/>
        <w:ind w:right="640"/>
        <w:rPr>
          <w:rFonts w:hint="eastAsia" w:ascii="仿宋_GB2312" w:hAnsi="Times New Roman" w:eastAsia="仿宋_GB2312" w:cs="Times New Roman"/>
          <w:sz w:val="32"/>
          <w:szCs w:val="32"/>
        </w:rPr>
      </w:pPr>
    </w:p>
    <w:p>
      <w:pPr>
        <w:pStyle w:val="2"/>
        <w:spacing w:line="520" w:lineRule="exact"/>
        <w:ind w:right="640"/>
        <w:rPr>
          <w:rFonts w:hint="eastAsia" w:ascii="仿宋_GB2312" w:hAnsi="Times New Roman" w:eastAsia="仿宋_GB2312" w:cs="Times New Roman"/>
          <w:sz w:val="32"/>
          <w:szCs w:val="32"/>
        </w:rPr>
      </w:pPr>
    </w:p>
    <w:p>
      <w:pPr>
        <w:pStyle w:val="2"/>
        <w:spacing w:line="520" w:lineRule="exact"/>
        <w:ind w:right="640"/>
        <w:rPr>
          <w:rFonts w:hint="eastAsia" w:ascii="仿宋_GB2312" w:hAnsi="Times New Roman" w:eastAsia="仿宋_GB2312" w:cs="Times New Roman"/>
          <w:sz w:val="32"/>
          <w:szCs w:val="32"/>
        </w:rPr>
      </w:pPr>
    </w:p>
    <w:p>
      <w:pPr>
        <w:pStyle w:val="2"/>
        <w:spacing w:line="520" w:lineRule="exact"/>
        <w:ind w:right="64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附判决引用的《中华人民共和国刑法》相关条款</w:t>
      </w:r>
    </w:p>
    <w:p>
      <w:pPr>
        <w:pStyle w:val="5"/>
        <w:spacing w:line="520" w:lineRule="exact"/>
        <w:rPr>
          <w:rFonts w:hint="eastAsia" w:ascii="仿宋_GB2312" w:eastAsia="仿宋_GB2312"/>
          <w:sz w:val="32"/>
          <w:szCs w:val="32"/>
        </w:rPr>
      </w:pPr>
      <w:r>
        <w:rPr>
          <w:rFonts w:hint="eastAsia" w:ascii="仿宋_GB2312" w:eastAsia="仿宋_GB2312"/>
          <w:sz w:val="32"/>
          <w:szCs w:val="32"/>
        </w:rPr>
        <w:t xml:space="preserve">    第一百九十六条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pStyle w:val="5"/>
        <w:spacing w:line="520" w:lineRule="exact"/>
        <w:rPr>
          <w:rFonts w:hint="eastAsia" w:ascii="仿宋_GB2312" w:eastAsia="仿宋_GB2312"/>
          <w:sz w:val="32"/>
          <w:szCs w:val="32"/>
        </w:rPr>
      </w:pPr>
      <w:r>
        <w:rPr>
          <w:rFonts w:hint="eastAsia" w:ascii="仿宋_GB2312" w:eastAsia="仿宋_GB2312"/>
          <w:sz w:val="32"/>
          <w:szCs w:val="32"/>
        </w:rPr>
        <w:t>　　(一)使用伪造的信用卡，或者使用以虚假的身份证明骗领的信用卡的;</w:t>
      </w:r>
    </w:p>
    <w:p>
      <w:pPr>
        <w:pStyle w:val="5"/>
        <w:spacing w:line="520" w:lineRule="exact"/>
        <w:rPr>
          <w:rFonts w:hint="eastAsia" w:ascii="仿宋_GB2312" w:eastAsia="仿宋_GB2312"/>
          <w:sz w:val="32"/>
          <w:szCs w:val="32"/>
        </w:rPr>
      </w:pPr>
      <w:r>
        <w:rPr>
          <w:rFonts w:hint="eastAsia" w:ascii="仿宋_GB2312" w:eastAsia="仿宋_GB2312"/>
          <w:sz w:val="32"/>
          <w:szCs w:val="32"/>
        </w:rPr>
        <w:t>　　(二)使用作废的信用卡的;</w:t>
      </w:r>
    </w:p>
    <w:p>
      <w:pPr>
        <w:pStyle w:val="5"/>
        <w:spacing w:line="520" w:lineRule="exact"/>
        <w:rPr>
          <w:rFonts w:hint="eastAsia" w:ascii="仿宋_GB2312" w:eastAsia="仿宋_GB2312"/>
          <w:sz w:val="32"/>
          <w:szCs w:val="32"/>
        </w:rPr>
      </w:pPr>
      <w:r>
        <w:rPr>
          <w:rFonts w:hint="eastAsia" w:ascii="仿宋_GB2312" w:eastAsia="仿宋_GB2312"/>
          <w:sz w:val="32"/>
          <w:szCs w:val="32"/>
        </w:rPr>
        <w:t>　　(三)冒用他人信用卡的;</w:t>
      </w:r>
    </w:p>
    <w:p>
      <w:pPr>
        <w:pStyle w:val="5"/>
        <w:spacing w:line="520" w:lineRule="exact"/>
        <w:rPr>
          <w:rFonts w:hint="eastAsia" w:ascii="仿宋_GB2312" w:eastAsia="仿宋_GB2312"/>
          <w:sz w:val="32"/>
          <w:szCs w:val="32"/>
        </w:rPr>
      </w:pPr>
      <w:r>
        <w:rPr>
          <w:rFonts w:hint="eastAsia" w:ascii="仿宋_GB2312" w:eastAsia="仿宋_GB2312"/>
          <w:sz w:val="32"/>
          <w:szCs w:val="32"/>
        </w:rPr>
        <w:t>　　(四)恶意透支的。</w:t>
      </w:r>
    </w:p>
    <w:p>
      <w:pPr>
        <w:pStyle w:val="5"/>
        <w:spacing w:line="520" w:lineRule="exact"/>
        <w:rPr>
          <w:rFonts w:hint="eastAsia" w:ascii="仿宋_GB2312" w:eastAsia="仿宋_GB2312"/>
          <w:sz w:val="32"/>
          <w:szCs w:val="32"/>
        </w:rPr>
      </w:pPr>
      <w:r>
        <w:rPr>
          <w:rFonts w:hint="eastAsia" w:ascii="仿宋_GB2312" w:eastAsia="仿宋_GB2312"/>
          <w:sz w:val="32"/>
          <w:szCs w:val="32"/>
        </w:rPr>
        <w:t>　　前款所称恶意透支，是指持卡人以非法占有为目的，超过规定限额或者规定期限透支，并且经发卡银行催收后仍不归还的行为。</w:t>
      </w:r>
    </w:p>
    <w:p>
      <w:pPr>
        <w:pStyle w:val="5"/>
        <w:spacing w:line="520" w:lineRule="exact"/>
        <w:ind w:firstLine="622" w:firstLineChars="200"/>
        <w:rPr>
          <w:rFonts w:hint="eastAsia" w:ascii="仿宋_GB2312" w:eastAsia="仿宋_GB2312"/>
          <w:sz w:val="32"/>
          <w:szCs w:val="32"/>
        </w:rPr>
      </w:pPr>
      <w:r>
        <w:rPr>
          <w:rFonts w:hint="eastAsia" w:ascii="仿宋_GB2312" w:eastAsia="仿宋_GB2312"/>
          <w:sz w:val="32"/>
          <w:szCs w:val="32"/>
        </w:rPr>
        <w:t>盗窃信用卡并使用的，依照本法第二百六十四条的规定定罪处罚。</w:t>
      </w:r>
    </w:p>
    <w:p>
      <w:pPr>
        <w:pStyle w:val="2"/>
        <w:spacing w:line="560" w:lineRule="exact"/>
        <w:ind w:firstLine="622" w:firstLineChars="200"/>
        <w:rPr>
          <w:rFonts w:hint="eastAsia" w:ascii="仿宋_GB2312" w:hAnsi="宋体" w:eastAsia="仿宋_GB2312"/>
          <w:sz w:val="32"/>
          <w:szCs w:val="32"/>
        </w:rPr>
      </w:pPr>
      <w:r>
        <w:rPr>
          <w:rFonts w:hint="eastAsia" w:ascii="仿宋_GB2312" w:hAnsi="宋体" w:eastAsia="仿宋_GB2312"/>
          <w:sz w:val="32"/>
          <w:szCs w:val="32"/>
        </w:rPr>
        <w:t>第七十二条 对于被判处拘役、三年以下有期徒刑的犯罪分子，同时符合下列条件的，可以宣告缓刑，对其中不满十八周岁的人、怀孕的妇女和已满七十五周岁的人，应当宣告缓刑：</w:t>
      </w:r>
    </w:p>
    <w:p>
      <w:pPr>
        <w:pStyle w:val="2"/>
        <w:spacing w:line="560" w:lineRule="exact"/>
        <w:ind w:left="640"/>
        <w:rPr>
          <w:rFonts w:hint="eastAsia" w:ascii="仿宋_GB2312" w:hAnsi="宋体" w:eastAsia="仿宋_GB2312"/>
          <w:sz w:val="32"/>
          <w:szCs w:val="32"/>
        </w:rPr>
      </w:pPr>
      <w:r>
        <w:rPr>
          <w:rFonts w:hint="eastAsia" w:ascii="仿宋_GB2312" w:hAnsi="宋体" w:eastAsia="仿宋_GB2312"/>
          <w:sz w:val="32"/>
          <w:szCs w:val="32"/>
        </w:rPr>
        <w:t>（一）犯罪情节较轻；</w:t>
      </w:r>
    </w:p>
    <w:p>
      <w:pPr>
        <w:pStyle w:val="2"/>
        <w:spacing w:line="560" w:lineRule="exact"/>
        <w:ind w:left="640"/>
        <w:rPr>
          <w:rFonts w:hint="eastAsia" w:ascii="仿宋_GB2312" w:hAnsi="宋体" w:eastAsia="仿宋_GB2312"/>
          <w:sz w:val="32"/>
          <w:szCs w:val="32"/>
        </w:rPr>
      </w:pPr>
      <w:r>
        <w:rPr>
          <w:rFonts w:hint="eastAsia" w:ascii="仿宋_GB2312" w:hAnsi="宋体" w:eastAsia="仿宋_GB2312"/>
          <w:sz w:val="32"/>
          <w:szCs w:val="32"/>
        </w:rPr>
        <w:t>（二）有悔罪表现；</w:t>
      </w:r>
    </w:p>
    <w:p>
      <w:pPr>
        <w:pStyle w:val="2"/>
        <w:spacing w:line="560" w:lineRule="exact"/>
        <w:ind w:left="640"/>
        <w:rPr>
          <w:rFonts w:hint="eastAsia" w:ascii="仿宋_GB2312" w:hAnsi="宋体" w:eastAsia="仿宋_GB2312"/>
          <w:sz w:val="32"/>
          <w:szCs w:val="32"/>
        </w:rPr>
      </w:pPr>
      <w:r>
        <w:rPr>
          <w:rFonts w:hint="eastAsia" w:ascii="仿宋_GB2312" w:hAnsi="宋体" w:eastAsia="仿宋_GB2312"/>
          <w:sz w:val="32"/>
          <w:szCs w:val="32"/>
        </w:rPr>
        <w:t>（三）没有再犯罪的危险；</w:t>
      </w:r>
    </w:p>
    <w:p>
      <w:pPr>
        <w:pStyle w:val="2"/>
        <w:spacing w:line="560" w:lineRule="exact"/>
        <w:ind w:firstLine="622" w:firstLineChars="200"/>
        <w:rPr>
          <w:rFonts w:hint="eastAsia" w:ascii="仿宋_GB2312" w:hAnsi="宋体" w:eastAsia="仿宋_GB2312"/>
          <w:sz w:val="32"/>
          <w:szCs w:val="32"/>
        </w:rPr>
      </w:pPr>
      <w:r>
        <w:rPr>
          <w:rFonts w:hint="eastAsia" w:ascii="仿宋_GB2312" w:hAnsi="宋体" w:eastAsia="仿宋_GB2312"/>
          <w:sz w:val="32"/>
          <w:szCs w:val="32"/>
        </w:rPr>
        <w:t>（四）宣告缓刑对所居住社区没有重大不良影响。</w:t>
      </w:r>
    </w:p>
    <w:p>
      <w:pPr>
        <w:pStyle w:val="2"/>
        <w:spacing w:line="560" w:lineRule="exact"/>
        <w:ind w:firstLine="622" w:firstLineChars="200"/>
        <w:rPr>
          <w:rFonts w:hint="eastAsia" w:ascii="仿宋_GB2312" w:hAnsi="宋体" w:eastAsia="仿宋_GB2312"/>
          <w:sz w:val="32"/>
          <w:szCs w:val="32"/>
        </w:rPr>
      </w:pPr>
      <w:r>
        <w:rPr>
          <w:rFonts w:hint="eastAsia" w:ascii="仿宋_GB2312" w:hAnsi="宋体" w:eastAsia="仿宋_GB2312"/>
          <w:sz w:val="32"/>
          <w:szCs w:val="32"/>
        </w:rPr>
        <w:t>宣告缓刑，可以根据犯罪情况，同时禁止犯罪分子在缓刑考验期限内从事特定活动，进入特定区域、场所，接触特定的人。</w:t>
      </w:r>
    </w:p>
    <w:p>
      <w:pPr>
        <w:pStyle w:val="2"/>
        <w:spacing w:line="560" w:lineRule="exact"/>
        <w:ind w:firstLine="622" w:firstLineChars="200"/>
        <w:rPr>
          <w:rFonts w:hint="eastAsia" w:ascii="仿宋_GB2312" w:hAnsi="宋体" w:eastAsia="仿宋_GB2312"/>
          <w:sz w:val="32"/>
          <w:szCs w:val="32"/>
        </w:rPr>
      </w:pPr>
      <w:r>
        <w:rPr>
          <w:rFonts w:hint="eastAsia" w:ascii="仿宋_GB2312" w:hAnsi="宋体" w:eastAsia="仿宋_GB2312"/>
          <w:sz w:val="32"/>
          <w:szCs w:val="32"/>
        </w:rPr>
        <w:t>被宣告缓刑的犯罪分子，如果被判处附加刑，附加刑仍须执行。</w:t>
      </w:r>
    </w:p>
    <w:p>
      <w:pPr>
        <w:pStyle w:val="2"/>
        <w:spacing w:line="560" w:lineRule="exact"/>
        <w:ind w:firstLine="622" w:firstLineChars="200"/>
        <w:rPr>
          <w:rFonts w:hint="eastAsia" w:ascii="仿宋_GB2312" w:hAnsi="宋体" w:eastAsia="仿宋_GB2312"/>
          <w:sz w:val="32"/>
          <w:szCs w:val="32"/>
        </w:rPr>
      </w:pPr>
      <w:r>
        <w:rPr>
          <w:rFonts w:hint="eastAsia" w:ascii="仿宋_GB2312" w:hAnsi="宋体" w:eastAsia="仿宋_GB2312"/>
          <w:sz w:val="32"/>
          <w:szCs w:val="32"/>
        </w:rPr>
        <w:t>第七十三条 拘役的缓刑考验期限为原判刑期以上一年以下，但是不能少于二个月。</w:t>
      </w:r>
    </w:p>
    <w:p>
      <w:pPr>
        <w:pStyle w:val="2"/>
        <w:spacing w:line="560" w:lineRule="exact"/>
        <w:ind w:firstLine="622" w:firstLineChars="200"/>
        <w:rPr>
          <w:rFonts w:hint="eastAsia" w:ascii="仿宋_GB2312" w:hAnsi="宋体" w:eastAsia="仿宋_GB2312"/>
          <w:sz w:val="32"/>
          <w:szCs w:val="32"/>
        </w:rPr>
      </w:pPr>
      <w:r>
        <w:rPr>
          <w:rFonts w:hint="eastAsia" w:ascii="仿宋_GB2312" w:hAnsi="宋体" w:eastAsia="仿宋_GB2312"/>
          <w:sz w:val="32"/>
          <w:szCs w:val="32"/>
        </w:rPr>
        <w:t>有期徒刑的缓刑考验期限为原判刑期以上五年以下，但是不能少于一年。</w:t>
      </w:r>
    </w:p>
    <w:p>
      <w:pPr>
        <w:spacing w:line="560" w:lineRule="exact"/>
        <w:ind w:firstLine="622" w:firstLineChars="200"/>
        <w:rPr>
          <w:rFonts w:hint="eastAsia" w:ascii="仿宋_GB2312" w:eastAsia="仿宋_GB2312"/>
          <w:sz w:val="32"/>
          <w:szCs w:val="32"/>
        </w:rPr>
      </w:pPr>
      <w:r>
        <w:rPr>
          <w:rFonts w:hint="eastAsia" w:ascii="仿宋_GB2312" w:hAnsi="宋体" w:eastAsia="仿宋_GB2312"/>
          <w:sz w:val="32"/>
          <w:szCs w:val="32"/>
        </w:rPr>
        <w:t>缓刑考验期限，从判决确定之日起计算。</w:t>
      </w:r>
    </w:p>
    <w:p>
      <w:pPr>
        <w:pStyle w:val="2"/>
        <w:spacing w:line="560" w:lineRule="exact"/>
        <w:ind w:firstLine="622" w:firstLineChars="200"/>
        <w:rPr>
          <w:rFonts w:hint="eastAsia" w:ascii="仿宋_GB2312" w:hAnsi="Arial Narrow" w:eastAsia="仿宋_GB2312" w:cs="宋体"/>
          <w:kern w:val="0"/>
          <w:sz w:val="32"/>
          <w:szCs w:val="32"/>
        </w:rPr>
      </w:pPr>
    </w:p>
    <w:p>
      <w:pPr>
        <w:pStyle w:val="2"/>
        <w:ind w:firstLine="645"/>
        <w:rPr>
          <w:rFonts w:hint="eastAsia" w:ascii="仿宋_GB2312" w:hAnsi="宋体" w:eastAsia="仿宋_GB2312"/>
          <w:sz w:val="32"/>
        </w:rPr>
      </w:pPr>
    </w:p>
    <w:p>
      <w:pPr>
        <w:ind w:firstLine="645"/>
        <w:rPr>
          <w:rFonts w:hint="eastAsia" w:ascii="仿宋_GB2312" w:hAnsi="宋体" w:eastAsia="仿宋_GB2312"/>
          <w:sz w:val="32"/>
        </w:rPr>
      </w:pPr>
    </w:p>
    <w:p>
      <w:pPr>
        <w:ind w:firstLine="645"/>
        <w:rPr>
          <w:rFonts w:hint="eastAsia" w:ascii="仿宋_GB2312" w:hAnsi="宋体" w:eastAsia="仿宋_GB2312"/>
          <w:sz w:val="32"/>
        </w:rPr>
      </w:pPr>
    </w:p>
    <w:p>
      <w:pPr>
        <w:ind w:firstLine="645"/>
        <w:rPr>
          <w:rFonts w:hint="eastAsia" w:ascii="仿宋_GB2312" w:hAnsi="宋体" w:eastAsia="仿宋_GB2312"/>
          <w:sz w:val="32"/>
        </w:rPr>
      </w:pPr>
    </w:p>
    <w:p>
      <w:pPr>
        <w:ind w:firstLine="645"/>
        <w:rPr>
          <w:rFonts w:hint="eastAsia" w:ascii="仿宋_GB2312" w:hAnsi="宋体" w:eastAsia="仿宋_GB2312"/>
          <w:sz w:val="32"/>
        </w:rPr>
      </w:pPr>
    </w:p>
    <w:p>
      <w:pPr>
        <w:ind w:firstLine="645"/>
        <w:rPr>
          <w:rFonts w:hint="eastAsia" w:ascii="仿宋_GB2312" w:hAnsi="宋体" w:eastAsia="仿宋_GB2312"/>
          <w:sz w:val="32"/>
        </w:rPr>
      </w:pPr>
    </w:p>
    <w:p>
      <w:pPr>
        <w:ind w:firstLine="645"/>
        <w:rPr>
          <w:rFonts w:hint="eastAsia" w:ascii="仿宋_GB2312" w:hAnsi="宋体" w:eastAsia="仿宋_GB2312"/>
          <w:sz w:val="32"/>
        </w:rPr>
      </w:pPr>
    </w:p>
    <w:p>
      <w:pPr>
        <w:ind w:firstLine="645"/>
        <w:rPr>
          <w:rFonts w:hint="eastAsia" w:ascii="仿宋_GB2312" w:hAnsi="宋体" w:eastAsia="仿宋_GB2312"/>
          <w:sz w:val="32"/>
        </w:rPr>
      </w:pPr>
    </w:p>
    <w:p>
      <w:pPr>
        <w:ind w:firstLine="645"/>
        <w:rPr>
          <w:rFonts w:hint="eastAsia" w:ascii="仿宋_GB2312" w:hAnsi="宋体" w:eastAsia="仿宋_GB2312"/>
          <w:sz w:val="32"/>
        </w:rPr>
      </w:pPr>
    </w:p>
    <w:p>
      <w:pPr>
        <w:ind w:firstLine="645"/>
        <w:rPr>
          <w:rFonts w:hint="eastAsia" w:ascii="仿宋_GB2312" w:hAnsi="宋体" w:eastAsia="仿宋_GB2312"/>
          <w:sz w:val="32"/>
        </w:rPr>
      </w:pPr>
    </w:p>
    <w:sectPr>
      <w:headerReference r:id="rId3" w:type="default"/>
      <w:footerReference r:id="rId4" w:type="default"/>
      <w:footerReference r:id="rId5" w:type="even"/>
      <w:pgSz w:w="11906" w:h="16838"/>
      <w:pgMar w:top="2041" w:right="1531" w:bottom="2041" w:left="1531" w:header="851" w:footer="1134" w:gutter="0"/>
      <w:cols w:space="720" w:num="1"/>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Narrow">
    <w:panose1 w:val="020B0606020202030204"/>
    <w:charset w:val="00"/>
    <w:family w:val="swiss"/>
    <w:pitch w:val="default"/>
    <w:sig w:usb0="00000287" w:usb1="00000800" w:usb2="00000000" w:usb3="00000000" w:csb0="2000009F" w:csb1="DFD7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方正小标宋简体">
    <w:altName w:val="Arial Unicode MS"/>
    <w:panose1 w:val="02010601030101010101"/>
    <w:charset w:val="86"/>
    <w:family w:val="auto"/>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pPr>
    <w:r>
      <w:fldChar w:fldCharType="begin"/>
    </w:r>
    <w:r>
      <w:instrText xml:space="preserve"> PAGE   \* MERGEFORMAT </w:instrText>
    </w:r>
    <w:r>
      <w:fldChar w:fldCharType="separate"/>
    </w:r>
    <w:r>
      <w:rPr>
        <w:lang w:val="zh-CN"/>
      </w:rPr>
      <w:t>5</w:t>
    </w:r>
    <w: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fldChar w:fldCharType="begin"/>
    </w:r>
    <w:r>
      <w:instrText xml:space="preserve"> PAGE   \* MERGEFORMAT </w:instrText>
    </w:r>
    <w:r>
      <w:fldChar w:fldCharType="separate"/>
    </w:r>
    <w:r>
      <w:rPr>
        <w:lang w:val="zh-CN"/>
      </w:rPr>
      <w:t>4</w:t>
    </w:r>
    <w:r>
      <w:fldChar w:fldCharType="end"/>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201"/>
  <w:drawingGridVerticalSpacing w:val="579"/>
  <w:displayHorizontalDrawingGridEvery w:val="0"/>
  <w:displayVerticalDrawingGridEvery w:val="1"/>
  <w:characterSpacingControl w:val="compressPunctuation"/>
  <w:doNotValidateAgainstSchema/>
  <w:doNotDemarcateInvalidXml/>
  <w:compat>
    <w:spaceForUL/>
    <w:balanceSingleByteDoubleByteWidth/>
    <w:doNotLeaveBackslashAlone/>
    <w:ulTrailSpace/>
    <w:doNotExpandShiftReturn/>
    <w:adjustLineHeightInTable/>
    <w:doNotBreakWrappedTables/>
    <w:doNotWrapTextWithPunct/>
    <w:doNotUseEastAsianBreak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C3DEE"/>
    <w:rsid w:val="00015CFB"/>
    <w:rsid w:val="0003710F"/>
    <w:rsid w:val="000434D5"/>
    <w:rsid w:val="00045686"/>
    <w:rsid w:val="00097183"/>
    <w:rsid w:val="000A1851"/>
    <w:rsid w:val="000A1C25"/>
    <w:rsid w:val="000A2E41"/>
    <w:rsid w:val="000B2973"/>
    <w:rsid w:val="000C4B5A"/>
    <w:rsid w:val="000D1BEC"/>
    <w:rsid w:val="000E4925"/>
    <w:rsid w:val="00100763"/>
    <w:rsid w:val="001069C2"/>
    <w:rsid w:val="00111B16"/>
    <w:rsid w:val="00120844"/>
    <w:rsid w:val="00126DC3"/>
    <w:rsid w:val="00137541"/>
    <w:rsid w:val="001513E0"/>
    <w:rsid w:val="00184339"/>
    <w:rsid w:val="00190B28"/>
    <w:rsid w:val="001A2917"/>
    <w:rsid w:val="001C1AAA"/>
    <w:rsid w:val="001C4753"/>
    <w:rsid w:val="001C60F9"/>
    <w:rsid w:val="001D23AC"/>
    <w:rsid w:val="001F1ABA"/>
    <w:rsid w:val="001F3713"/>
    <w:rsid w:val="002167FC"/>
    <w:rsid w:val="002243D5"/>
    <w:rsid w:val="00236154"/>
    <w:rsid w:val="002414DA"/>
    <w:rsid w:val="00251EBC"/>
    <w:rsid w:val="00263AB8"/>
    <w:rsid w:val="00271F6F"/>
    <w:rsid w:val="00296574"/>
    <w:rsid w:val="002D501A"/>
    <w:rsid w:val="002E134B"/>
    <w:rsid w:val="002E5158"/>
    <w:rsid w:val="002E7CB4"/>
    <w:rsid w:val="002F2D17"/>
    <w:rsid w:val="002F6DDE"/>
    <w:rsid w:val="003219F8"/>
    <w:rsid w:val="00331185"/>
    <w:rsid w:val="00334CD6"/>
    <w:rsid w:val="00351A6C"/>
    <w:rsid w:val="00365C0C"/>
    <w:rsid w:val="00375895"/>
    <w:rsid w:val="00386BCB"/>
    <w:rsid w:val="00393D20"/>
    <w:rsid w:val="003C1E59"/>
    <w:rsid w:val="003C769E"/>
    <w:rsid w:val="003D441E"/>
    <w:rsid w:val="003D4F24"/>
    <w:rsid w:val="003E3F96"/>
    <w:rsid w:val="003E4CAB"/>
    <w:rsid w:val="004004E1"/>
    <w:rsid w:val="004130C4"/>
    <w:rsid w:val="00442A45"/>
    <w:rsid w:val="00442F8E"/>
    <w:rsid w:val="00445D0B"/>
    <w:rsid w:val="00453EF2"/>
    <w:rsid w:val="00455374"/>
    <w:rsid w:val="004570CD"/>
    <w:rsid w:val="004765FA"/>
    <w:rsid w:val="00495BB3"/>
    <w:rsid w:val="004A400E"/>
    <w:rsid w:val="004C75F5"/>
    <w:rsid w:val="004D0485"/>
    <w:rsid w:val="004E1971"/>
    <w:rsid w:val="004F46B0"/>
    <w:rsid w:val="00515292"/>
    <w:rsid w:val="00521871"/>
    <w:rsid w:val="00543810"/>
    <w:rsid w:val="00546753"/>
    <w:rsid w:val="00546824"/>
    <w:rsid w:val="00570933"/>
    <w:rsid w:val="005738FF"/>
    <w:rsid w:val="00586854"/>
    <w:rsid w:val="00586917"/>
    <w:rsid w:val="005A0831"/>
    <w:rsid w:val="005B4A69"/>
    <w:rsid w:val="005B7C87"/>
    <w:rsid w:val="005C26CF"/>
    <w:rsid w:val="005E284F"/>
    <w:rsid w:val="005F3302"/>
    <w:rsid w:val="00616B43"/>
    <w:rsid w:val="0061700E"/>
    <w:rsid w:val="006227C6"/>
    <w:rsid w:val="00625AD3"/>
    <w:rsid w:val="00635367"/>
    <w:rsid w:val="00640474"/>
    <w:rsid w:val="00644A26"/>
    <w:rsid w:val="0066118B"/>
    <w:rsid w:val="006811B3"/>
    <w:rsid w:val="0068774A"/>
    <w:rsid w:val="006A13B7"/>
    <w:rsid w:val="006B33F9"/>
    <w:rsid w:val="006D148B"/>
    <w:rsid w:val="006D1F75"/>
    <w:rsid w:val="00701327"/>
    <w:rsid w:val="00713CCA"/>
    <w:rsid w:val="0072000B"/>
    <w:rsid w:val="007267B7"/>
    <w:rsid w:val="00732C16"/>
    <w:rsid w:val="00781051"/>
    <w:rsid w:val="007851EC"/>
    <w:rsid w:val="007B2399"/>
    <w:rsid w:val="007B6752"/>
    <w:rsid w:val="007C2FDE"/>
    <w:rsid w:val="007C6FA1"/>
    <w:rsid w:val="007D3B6F"/>
    <w:rsid w:val="00801D83"/>
    <w:rsid w:val="00802E73"/>
    <w:rsid w:val="00804652"/>
    <w:rsid w:val="0082114B"/>
    <w:rsid w:val="00847BD4"/>
    <w:rsid w:val="00863066"/>
    <w:rsid w:val="008C0F03"/>
    <w:rsid w:val="008D64FF"/>
    <w:rsid w:val="008F0177"/>
    <w:rsid w:val="008F75D5"/>
    <w:rsid w:val="00905D57"/>
    <w:rsid w:val="00927D69"/>
    <w:rsid w:val="00937E3F"/>
    <w:rsid w:val="00976A35"/>
    <w:rsid w:val="00981FA5"/>
    <w:rsid w:val="00992A41"/>
    <w:rsid w:val="009A4686"/>
    <w:rsid w:val="009B5E77"/>
    <w:rsid w:val="009E2EB7"/>
    <w:rsid w:val="009F5EF4"/>
    <w:rsid w:val="00A41823"/>
    <w:rsid w:val="00A4232B"/>
    <w:rsid w:val="00A50590"/>
    <w:rsid w:val="00A527C3"/>
    <w:rsid w:val="00A55976"/>
    <w:rsid w:val="00A63880"/>
    <w:rsid w:val="00A642CD"/>
    <w:rsid w:val="00A65718"/>
    <w:rsid w:val="00A71393"/>
    <w:rsid w:val="00A7713F"/>
    <w:rsid w:val="00A815E3"/>
    <w:rsid w:val="00A97DC0"/>
    <w:rsid w:val="00AA3FEF"/>
    <w:rsid w:val="00AA70F5"/>
    <w:rsid w:val="00AB5699"/>
    <w:rsid w:val="00AB7B4A"/>
    <w:rsid w:val="00AC38F3"/>
    <w:rsid w:val="00AC3A86"/>
    <w:rsid w:val="00AC65BD"/>
    <w:rsid w:val="00AD6276"/>
    <w:rsid w:val="00AE6EFB"/>
    <w:rsid w:val="00AF443D"/>
    <w:rsid w:val="00B002C5"/>
    <w:rsid w:val="00B00EAC"/>
    <w:rsid w:val="00B0517B"/>
    <w:rsid w:val="00B2097F"/>
    <w:rsid w:val="00B22A6A"/>
    <w:rsid w:val="00B24610"/>
    <w:rsid w:val="00B30B37"/>
    <w:rsid w:val="00B312C8"/>
    <w:rsid w:val="00B60C12"/>
    <w:rsid w:val="00B7353D"/>
    <w:rsid w:val="00B73595"/>
    <w:rsid w:val="00B74E06"/>
    <w:rsid w:val="00B77DEA"/>
    <w:rsid w:val="00BA1B34"/>
    <w:rsid w:val="00BA4A22"/>
    <w:rsid w:val="00BA612B"/>
    <w:rsid w:val="00BB7AC4"/>
    <w:rsid w:val="00BC3DEE"/>
    <w:rsid w:val="00C0723D"/>
    <w:rsid w:val="00C245F2"/>
    <w:rsid w:val="00C42986"/>
    <w:rsid w:val="00C4436C"/>
    <w:rsid w:val="00C54852"/>
    <w:rsid w:val="00C94B54"/>
    <w:rsid w:val="00CA188F"/>
    <w:rsid w:val="00CC26B2"/>
    <w:rsid w:val="00CC3BD9"/>
    <w:rsid w:val="00CC6C5C"/>
    <w:rsid w:val="00CD54F4"/>
    <w:rsid w:val="00CE0FB9"/>
    <w:rsid w:val="00D1751B"/>
    <w:rsid w:val="00D43E8B"/>
    <w:rsid w:val="00D6246A"/>
    <w:rsid w:val="00D8179E"/>
    <w:rsid w:val="00D83AD8"/>
    <w:rsid w:val="00D85CEF"/>
    <w:rsid w:val="00D93C54"/>
    <w:rsid w:val="00D969AB"/>
    <w:rsid w:val="00DA0494"/>
    <w:rsid w:val="00DA6907"/>
    <w:rsid w:val="00DB388C"/>
    <w:rsid w:val="00DC54C3"/>
    <w:rsid w:val="00DC73D0"/>
    <w:rsid w:val="00DF0D62"/>
    <w:rsid w:val="00DF2DEB"/>
    <w:rsid w:val="00DF32DB"/>
    <w:rsid w:val="00E0153B"/>
    <w:rsid w:val="00E02AAC"/>
    <w:rsid w:val="00E0418E"/>
    <w:rsid w:val="00E34CDF"/>
    <w:rsid w:val="00E531EE"/>
    <w:rsid w:val="00E60404"/>
    <w:rsid w:val="00E8633D"/>
    <w:rsid w:val="00EC083E"/>
    <w:rsid w:val="00EC4D42"/>
    <w:rsid w:val="00EC5E89"/>
    <w:rsid w:val="00ED0D08"/>
    <w:rsid w:val="00ED2CCC"/>
    <w:rsid w:val="00ED79A9"/>
    <w:rsid w:val="00F22421"/>
    <w:rsid w:val="00F645BE"/>
    <w:rsid w:val="00F85AEA"/>
    <w:rsid w:val="00F97615"/>
    <w:rsid w:val="00F977E6"/>
    <w:rsid w:val="00FA5EC8"/>
    <w:rsid w:val="00FB03C0"/>
    <w:rsid w:val="00FC6ED6"/>
    <w:rsid w:val="00FD7BA5"/>
    <w:rsid w:val="00FF506D"/>
    <w:rsid w:val="04B11019"/>
    <w:rsid w:val="05437CC1"/>
    <w:rsid w:val="09BF679B"/>
    <w:rsid w:val="0AB07EA4"/>
    <w:rsid w:val="0BFE4B3A"/>
    <w:rsid w:val="1D2019D2"/>
    <w:rsid w:val="2055491A"/>
    <w:rsid w:val="280D5151"/>
    <w:rsid w:val="2A3B4498"/>
    <w:rsid w:val="2E182F2D"/>
    <w:rsid w:val="30AD7A4B"/>
    <w:rsid w:val="321235F2"/>
    <w:rsid w:val="38EB7C15"/>
    <w:rsid w:val="3BFF601A"/>
    <w:rsid w:val="418869D6"/>
    <w:rsid w:val="45AB2704"/>
    <w:rsid w:val="47340F98"/>
    <w:rsid w:val="4B372AB8"/>
    <w:rsid w:val="55465C58"/>
    <w:rsid w:val="59E051FD"/>
    <w:rsid w:val="5A6F3AD5"/>
    <w:rsid w:val="5CBD5A36"/>
    <w:rsid w:val="65C6723B"/>
    <w:rsid w:val="79B356B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link w:val="9"/>
    <w:qFormat/>
    <w:uiPriority w:val="0"/>
    <w:rPr>
      <w:rFonts w:ascii="宋体" w:hAnsi="Courier New" w:cs="Courier New"/>
      <w:szCs w:val="21"/>
    </w:rPr>
  </w:style>
  <w:style w:type="paragraph" w:styleId="3">
    <w:name w:val="footer"/>
    <w:basedOn w:val="1"/>
    <w:link w:val="10"/>
    <w:uiPriority w:val="99"/>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5">
    <w:name w:val="Normal (Web)"/>
    <w:basedOn w:val="1"/>
    <w:uiPriority w:val="0"/>
    <w:pPr>
      <w:widowControl/>
      <w:jc w:val="left"/>
    </w:pPr>
    <w:rPr>
      <w:rFonts w:ascii="Arial Narrow" w:hAnsi="Arial Narrow" w:cs="宋体"/>
      <w:kern w:val="0"/>
      <w:sz w:val="18"/>
      <w:szCs w:val="18"/>
    </w:rPr>
  </w:style>
  <w:style w:type="paragraph" w:customStyle="1" w:styleId="8">
    <w:name w:val="Char"/>
    <w:basedOn w:val="1"/>
    <w:uiPriority w:val="0"/>
    <w:pPr>
      <w:widowControl/>
      <w:spacing w:after="160" w:line="240" w:lineRule="exact"/>
      <w:jc w:val="left"/>
    </w:pPr>
    <w:rPr>
      <w:rFonts w:ascii="Verdana" w:hAnsi="Verdana" w:eastAsia="仿宋_GB2312"/>
      <w:kern w:val="0"/>
      <w:sz w:val="24"/>
      <w:szCs w:val="20"/>
      <w:lang w:eastAsia="en-US"/>
    </w:rPr>
  </w:style>
  <w:style w:type="character" w:customStyle="1" w:styleId="9">
    <w:name w:val="纯文本 Char"/>
    <w:basedOn w:val="6"/>
    <w:link w:val="2"/>
    <w:qFormat/>
    <w:uiPriority w:val="0"/>
    <w:rPr>
      <w:rFonts w:ascii="宋体" w:hAnsi="Courier New" w:eastAsia="宋体" w:cs="Courier New"/>
      <w:kern w:val="2"/>
      <w:sz w:val="21"/>
      <w:szCs w:val="21"/>
      <w:lang w:val="en-US" w:eastAsia="zh-CN" w:bidi="ar-SA"/>
    </w:rPr>
  </w:style>
  <w:style w:type="character" w:customStyle="1" w:styleId="10">
    <w:name w:val="页脚 Char"/>
    <w:basedOn w:val="6"/>
    <w:link w:val="3"/>
    <w:uiPriority w:val="99"/>
    <w:rPr>
      <w:kern w:val="2"/>
      <w:sz w:val="18"/>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 China</Company>
  <Pages>5</Pages>
  <Words>331</Words>
  <Characters>1889</Characters>
  <Lines>15</Lines>
  <Paragraphs>4</Paragraphs>
  <TotalTime>0</TotalTime>
  <ScaleCrop>false</ScaleCrop>
  <LinksUpToDate>false</LinksUpToDate>
  <CharactersWithSpaces>2216</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2017-04-10T04:24:00Z</dcterms:created>
  <dc:creator>FreeUser</dc:creator>
  <cp:lastModifiedBy>TF-PC</cp:lastModifiedBy>
  <cp:lastPrinted>2017-04-10T03:47:00Z</cp:lastPrinted>
  <dcterms:modified xsi:type="dcterms:W3CDTF">2018-08-27T09:41:11Z</dcterms:modified>
  <dc:title>阅   卷  笔  录</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