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800" w:lineRule="exact"/>
        <w:jc w:val="center"/>
        <w:rPr>
          <w:rFonts w:hint="eastAsia" w:ascii="方正小标宋简体" w:hAnsi="方正小标宋简体" w:eastAsia="方正小标宋简体" w:cs="方正小标宋简体"/>
          <w:sz w:val="36"/>
          <w:szCs w:val="36"/>
        </w:rPr>
      </w:pPr>
      <w:bookmarkStart w:id="0" w:name="_GoBack"/>
      <w:bookmarkEnd w:id="0"/>
    </w:p>
    <w:p>
      <w:pPr>
        <w:spacing w:line="800" w:lineRule="exact"/>
        <w:jc w:val="center"/>
        <w:rPr>
          <w:rFonts w:hint="eastAsia" w:ascii="方正小标宋简体" w:hAnsi="方正小标宋简体" w:eastAsia="方正小标宋简体" w:cs="方正小标宋简体"/>
          <w:sz w:val="44"/>
          <w:szCs w:val="44"/>
        </w:rPr>
      </w:pPr>
    </w:p>
    <w:p>
      <w:pPr>
        <w:spacing w:line="520" w:lineRule="exact"/>
        <w:jc w:val="center"/>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天津市武清区人民法院</w:t>
      </w:r>
    </w:p>
    <w:p>
      <w:pPr>
        <w:spacing w:line="520" w:lineRule="exact"/>
        <w:jc w:val="center"/>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刑 事 判 决 书</w:t>
      </w:r>
    </w:p>
    <w:p>
      <w:pPr>
        <w:ind w:firstLine="624" w:firstLineChars="200"/>
        <w:rPr>
          <w:rFonts w:hint="eastAsia" w:ascii="仿宋_GB2312" w:eastAsia="仿宋_GB2312"/>
          <w:sz w:val="32"/>
        </w:rPr>
      </w:pPr>
      <w:r>
        <w:rPr>
          <w:rFonts w:hint="eastAsia" w:ascii="仿宋_GB2312" w:eastAsia="仿宋_GB2312"/>
          <w:sz w:val="32"/>
        </w:rPr>
        <w:t xml:space="preserve">                          </w:t>
      </w:r>
    </w:p>
    <w:p>
      <w:pPr>
        <w:ind w:firstLine="624" w:firstLineChars="200"/>
        <w:rPr>
          <w:rFonts w:hint="eastAsia" w:ascii="仿宋_GB2312" w:eastAsia="仿宋_GB2312"/>
          <w:sz w:val="32"/>
        </w:rPr>
      </w:pPr>
      <w:r>
        <w:rPr>
          <w:rFonts w:hint="eastAsia" w:ascii="仿宋_GB2312" w:eastAsia="仿宋_GB2312"/>
          <w:sz w:val="32"/>
        </w:rPr>
        <w:t xml:space="preserve">                        （2017）津0114刑初242号</w:t>
      </w:r>
    </w:p>
    <w:p>
      <w:pPr>
        <w:pStyle w:val="2"/>
        <w:spacing w:line="520" w:lineRule="exact"/>
        <w:ind w:firstLine="624" w:firstLineChars="200"/>
        <w:rPr>
          <w:rFonts w:hint="eastAsia" w:ascii="仿宋_GB2312" w:hAnsi="仿宋_GB2312" w:eastAsia="仿宋_GB2312"/>
          <w:sz w:val="32"/>
        </w:rPr>
      </w:pPr>
    </w:p>
    <w:p>
      <w:pPr>
        <w:pStyle w:val="2"/>
        <w:tabs>
          <w:tab w:val="left" w:pos="7665"/>
        </w:tabs>
        <w:spacing w:line="520" w:lineRule="exact"/>
        <w:ind w:firstLine="624" w:firstLineChars="200"/>
        <w:rPr>
          <w:rFonts w:hint="eastAsia" w:ascii="仿宋_GB2312" w:eastAsia="仿宋_GB2312"/>
          <w:sz w:val="32"/>
        </w:rPr>
      </w:pPr>
      <w:r>
        <w:rPr>
          <w:rFonts w:hint="eastAsia" w:ascii="仿宋_GB2312" w:eastAsia="仿宋_GB2312"/>
          <w:sz w:val="32"/>
        </w:rPr>
        <w:t>公诉机关天津市武清区人民检察院。</w:t>
      </w:r>
    </w:p>
    <w:p>
      <w:pPr>
        <w:pStyle w:val="2"/>
        <w:spacing w:line="520" w:lineRule="exact"/>
        <w:ind w:firstLine="624" w:firstLineChars="200"/>
        <w:rPr>
          <w:rFonts w:hint="eastAsia" w:ascii="仿宋_GB2312" w:eastAsia="仿宋_GB2312"/>
          <w:sz w:val="32"/>
        </w:rPr>
      </w:pPr>
      <w:r>
        <w:rPr>
          <w:rFonts w:hint="eastAsia" w:ascii="仿宋_GB2312" w:eastAsia="仿宋_GB2312"/>
          <w:sz w:val="32"/>
        </w:rPr>
        <w:t>被告人史天阳，男，1986年1月2日出生于天津市武清区，汉族，群众，无业，初中文化，住武清区杨村街雍阳西道邮电局楼4号楼2门502号。因涉嫌犯信用卡诈骗罪于2016年12月5日被天津市公安局武清分局刑事拘留，2016年12月12日被取保候审，2017年3月7日被天津市武清区人民检察院取保候审。</w:t>
      </w:r>
    </w:p>
    <w:p>
      <w:pPr>
        <w:pStyle w:val="2"/>
        <w:spacing w:line="520" w:lineRule="exact"/>
        <w:ind w:firstLine="624" w:firstLineChars="200"/>
        <w:rPr>
          <w:rFonts w:hint="eastAsia" w:ascii="仿宋_GB2312" w:eastAsia="仿宋_GB2312"/>
          <w:sz w:val="32"/>
        </w:rPr>
      </w:pPr>
      <w:r>
        <w:rPr>
          <w:rFonts w:hint="eastAsia" w:ascii="仿宋_GB2312" w:eastAsia="仿宋_GB2312"/>
          <w:sz w:val="32"/>
        </w:rPr>
        <w:t>辩护人秦超，天津毕成律师事务所律师。</w:t>
      </w:r>
    </w:p>
    <w:p>
      <w:pPr>
        <w:pStyle w:val="2"/>
        <w:spacing w:line="520" w:lineRule="exact"/>
        <w:ind w:firstLine="624" w:firstLineChars="200"/>
        <w:rPr>
          <w:rFonts w:hint="eastAsia" w:ascii="仿宋_GB2312" w:eastAsia="仿宋_GB2312"/>
          <w:sz w:val="32"/>
        </w:rPr>
      </w:pPr>
      <w:r>
        <w:rPr>
          <w:rFonts w:hint="eastAsia" w:ascii="仿宋_GB2312" w:eastAsia="仿宋_GB2312"/>
          <w:sz w:val="32"/>
        </w:rPr>
        <w:t>天津市武清区人民检察院以津武检公诉刑诉[2017]237号起诉书指控被告人史天阳犯信用卡诈骗罪，于2017年4月6日向本院提起公诉。本院于当日立案，并依法适用简易程序，实行独任审判。在审理过程中</w:t>
      </w:r>
      <w:r>
        <w:rPr>
          <w:rFonts w:ascii="仿宋_GB2312" w:eastAsia="仿宋_GB2312"/>
          <w:sz w:val="32"/>
        </w:rPr>
        <w:t>,</w:t>
      </w:r>
      <w:r>
        <w:rPr>
          <w:rFonts w:hint="eastAsia" w:ascii="仿宋_GB2312" w:eastAsia="仿宋_GB2312"/>
          <w:sz w:val="32"/>
        </w:rPr>
        <w:t>发现本案不宜适用简易程序</w:t>
      </w:r>
      <w:r>
        <w:rPr>
          <w:rFonts w:ascii="仿宋_GB2312" w:eastAsia="仿宋_GB2312"/>
          <w:sz w:val="32"/>
        </w:rPr>
        <w:t>,</w:t>
      </w:r>
      <w:r>
        <w:rPr>
          <w:rFonts w:hint="eastAsia" w:ascii="仿宋_GB2312" w:eastAsia="仿宋_GB2312"/>
          <w:sz w:val="32"/>
        </w:rPr>
        <w:t>于</w:t>
      </w:r>
      <w:r>
        <w:rPr>
          <w:rFonts w:ascii="仿宋_GB2312" w:eastAsia="仿宋_GB2312"/>
          <w:sz w:val="32"/>
        </w:rPr>
        <w:t>201</w:t>
      </w:r>
      <w:r>
        <w:rPr>
          <w:rFonts w:hint="eastAsia" w:ascii="仿宋_GB2312" w:eastAsia="仿宋_GB2312"/>
          <w:sz w:val="32"/>
        </w:rPr>
        <w:t>7年4月26日决定中止审理转为普通程序审理，并依法组成合议庭，公开开庭审理了本案。天津市武清区人民检察院指派检察员孟德琪出庭支持公诉，被告人史天阳及辩护人秦超均到庭参加诉讼。现已审理终结。</w:t>
      </w:r>
    </w:p>
    <w:p>
      <w:pPr>
        <w:ind w:right="-32" w:firstLine="624" w:firstLineChars="200"/>
        <w:rPr>
          <w:rFonts w:hint="eastAsia" w:ascii="仿宋_GB2312" w:eastAsia="仿宋_GB2312"/>
          <w:sz w:val="32"/>
        </w:rPr>
      </w:pPr>
      <w:r>
        <w:rPr>
          <w:rFonts w:hint="eastAsia" w:ascii="仿宋_GB2312" w:eastAsia="仿宋_GB2312"/>
          <w:sz w:val="32"/>
        </w:rPr>
        <w:t>经审理查明，被告人史天阳于2012年3月7日在中国农业银行办理信用卡1张，后于2014年6月17日至6月19日使用该信用卡进行透支，共计透支人民币86812.77元。经发卡行两次催收后，被告人史天阳超过三个月仍不归还。</w:t>
      </w:r>
    </w:p>
    <w:p>
      <w:pPr>
        <w:ind w:right="-32" w:firstLine="624" w:firstLineChars="200"/>
        <w:rPr>
          <w:rFonts w:hint="eastAsia" w:ascii="仿宋_GB2312" w:eastAsia="仿宋_GB2312"/>
          <w:sz w:val="32"/>
        </w:rPr>
      </w:pPr>
      <w:r>
        <w:rPr>
          <w:rFonts w:hint="eastAsia" w:ascii="仿宋_GB2312" w:eastAsia="仿宋_GB2312"/>
          <w:sz w:val="32"/>
        </w:rPr>
        <w:t xml:space="preserve">被告人史天阳后被抓获。2016年12月7日，被告人史天阳将其所欠中国农业银行信用卡的本金及利息全部偿还。 </w:t>
      </w:r>
    </w:p>
    <w:p>
      <w:pPr>
        <w:spacing w:line="520" w:lineRule="exact"/>
        <w:rPr>
          <w:rFonts w:hint="eastAsia" w:ascii="仿宋_GB2312" w:eastAsia="仿宋_GB2312"/>
          <w:sz w:val="32"/>
        </w:rPr>
      </w:pPr>
      <w:r>
        <w:rPr>
          <w:rFonts w:hint="eastAsia" w:ascii="仿宋_GB2312" w:eastAsia="仿宋_GB2312"/>
          <w:sz w:val="32"/>
        </w:rPr>
        <w:t xml:space="preserve">    上述事实，被告人史天阳及辩护人在开庭审理中亦无异议，且有</w:t>
      </w:r>
      <w:r>
        <w:rPr>
          <w:rFonts w:hint="eastAsia" w:ascii="仿宋_GB2312" w:eastAsia="仿宋_GB2312"/>
          <w:sz w:val="32"/>
          <w:szCs w:val="32"/>
        </w:rPr>
        <w:t>案件来源及抓获经过、证人证言、中国农业银行股份有限公司天津武清支行出具的举报材料、授权委托书、史天阳办理银行信用卡的材料及信用卡账单、催收记录、中国农业银行股份有限公司天津武清支行出具的情况说明、被告人供述</w:t>
      </w:r>
      <w:r>
        <w:rPr>
          <w:rFonts w:hint="eastAsia" w:ascii="仿宋_GB2312" w:eastAsia="仿宋_GB2312"/>
          <w:sz w:val="32"/>
        </w:rPr>
        <w:t>等证据证实，足以认定。</w:t>
      </w:r>
    </w:p>
    <w:p>
      <w:pPr>
        <w:pStyle w:val="2"/>
        <w:spacing w:line="520" w:lineRule="exact"/>
        <w:ind w:firstLine="624" w:firstLineChars="200"/>
        <w:rPr>
          <w:rFonts w:hint="eastAsia" w:ascii="仿宋_GB2312" w:eastAsia="仿宋_GB2312"/>
          <w:sz w:val="32"/>
        </w:rPr>
      </w:pPr>
      <w:r>
        <w:rPr>
          <w:rFonts w:hint="eastAsia" w:ascii="仿宋_GB2312" w:hAnsi="Times New Roman" w:eastAsia="仿宋_GB2312"/>
          <w:sz w:val="32"/>
        </w:rPr>
        <w:t>本院认为，</w:t>
      </w:r>
      <w:r>
        <w:rPr>
          <w:rFonts w:hint="eastAsia" w:ascii="仿宋_GB2312" w:hAnsi="Times New Roman" w:eastAsia="仿宋_GB2312"/>
          <w:sz w:val="32"/>
          <w:szCs w:val="32"/>
        </w:rPr>
        <w:t>被告人史天阳办理信用卡后以非法占有为目的</w:t>
      </w:r>
      <w:r>
        <w:rPr>
          <w:rFonts w:hint="eastAsia" w:ascii="仿宋_GB2312" w:hAnsi="Times New Roman" w:eastAsia="仿宋_GB2312"/>
          <w:sz w:val="32"/>
        </w:rPr>
        <w:t>，</w:t>
      </w:r>
      <w:r>
        <w:rPr>
          <w:rFonts w:hint="eastAsia" w:ascii="仿宋_GB2312" w:hAnsi="宋体" w:eastAsia="仿宋_GB2312" w:cs="仿宋_GB2312"/>
          <w:sz w:val="32"/>
          <w:szCs w:val="32"/>
        </w:rPr>
        <w:t>超过规定期限透支，经发卡银行催收后仍不归还</w:t>
      </w:r>
      <w:r>
        <w:rPr>
          <w:rFonts w:hint="eastAsia" w:ascii="仿宋_GB2312" w:hAnsi="Times New Roman" w:eastAsia="仿宋_GB2312"/>
          <w:sz w:val="32"/>
        </w:rPr>
        <w:t>，系恶意透支，且数额较大，其行为已构成信用卡诈骗罪。公诉机关对被告人史天阳犯信用卡诈骗罪的指控成立，要求适用法律条款的意见是正确的，应予采纳。被告人史天阳能</w:t>
      </w:r>
      <w:r>
        <w:rPr>
          <w:rFonts w:ascii="仿宋_GB2312" w:hAnsi="Times New Roman" w:eastAsia="仿宋_GB2312"/>
          <w:sz w:val="32"/>
        </w:rPr>
        <w:t>自愿认罪，</w:t>
      </w:r>
      <w:r>
        <w:rPr>
          <w:rFonts w:hint="eastAsia" w:ascii="仿宋_GB2312" w:hAnsi="Times New Roman" w:eastAsia="仿宋_GB2312"/>
          <w:sz w:val="32"/>
        </w:rPr>
        <w:t>认罪态度较好，有悔罪表现，且退赔被害银行的经济损失，依法均可酌情从轻处罚。对被告人史天阳的辩护人就此发表的辩护意见，本院予以采纳。</w:t>
      </w:r>
      <w:r>
        <w:rPr>
          <w:rFonts w:hint="eastAsia" w:ascii="仿宋_GB2312" w:hAnsi="宋体" w:eastAsia="仿宋_GB2312"/>
          <w:sz w:val="32"/>
        </w:rPr>
        <w:t>综上，被告人史天阳犯信用卡诈骗罪的法定量刑幅度为</w:t>
      </w:r>
      <w:r>
        <w:rPr>
          <w:rFonts w:hint="eastAsia" w:ascii="仿宋_GB2312" w:hAnsi="宋体" w:eastAsia="仿宋_GB2312" w:cs="仿宋_GB2312"/>
          <w:sz w:val="32"/>
          <w:szCs w:val="32"/>
        </w:rPr>
        <w:t>五年以下有期徒刑或者拘役，并处二万元以上二十万元以下罚金</w:t>
      </w:r>
      <w:r>
        <w:rPr>
          <w:rFonts w:hint="eastAsia" w:ascii="仿宋_GB2312" w:hAnsi="宋体" w:eastAsia="仿宋_GB2312"/>
          <w:sz w:val="32"/>
        </w:rPr>
        <w:t>。对公诉人综合本案情况发表的建议判处被告人史天阳有期徒刑二年至三年，并处罚金的量刑意见，本院予以考虑。对辩护人发表的希望法庭对被告人史天阳判处缓刑的辩护意见，本院予以采纳。本院为维护社会秩序，保障国家金融管理制度不受侵犯，依照《中华人民共和国刑法》第一百九十六条第一款第（四）项、第二款、第七十二条第一款、第三款、第七十三条第二款、第三款</w:t>
      </w:r>
      <w:r>
        <w:rPr>
          <w:rFonts w:hint="eastAsia" w:ascii="仿宋_GB2312" w:hAnsi="宋体" w:eastAsia="仿宋_GB2312"/>
          <w:color w:val="000000"/>
          <w:sz w:val="32"/>
        </w:rPr>
        <w:t>的</w:t>
      </w:r>
      <w:r>
        <w:rPr>
          <w:rFonts w:hint="eastAsia" w:ascii="仿宋_GB2312" w:hAnsi="Times New Roman" w:eastAsia="仿宋_GB2312"/>
          <w:sz w:val="32"/>
        </w:rPr>
        <w:t>规定，判决如下：</w:t>
      </w:r>
    </w:p>
    <w:p>
      <w:pPr>
        <w:tabs>
          <w:tab w:val="left" w:pos="7699"/>
        </w:tabs>
        <w:spacing w:line="520" w:lineRule="exact"/>
        <w:ind w:right="30" w:rightChars="15" w:firstLine="624" w:firstLineChars="200"/>
        <w:rPr>
          <w:rFonts w:hint="eastAsia" w:ascii="仿宋_GB2312" w:eastAsia="仿宋_GB2312"/>
          <w:sz w:val="32"/>
        </w:rPr>
      </w:pPr>
      <w:r>
        <w:rPr>
          <w:rFonts w:hint="eastAsia" w:ascii="仿宋_GB2312" w:eastAsia="仿宋_GB2312"/>
          <w:sz w:val="32"/>
        </w:rPr>
        <w:t>被告人史天阳犯信用卡</w:t>
      </w:r>
      <w:r>
        <w:rPr>
          <w:rFonts w:hint="eastAsia" w:ascii="仿宋_GB2312" w:hAnsi="宋体" w:eastAsia="仿宋_GB2312"/>
          <w:sz w:val="32"/>
        </w:rPr>
        <w:t>诈骗罪</w:t>
      </w:r>
      <w:r>
        <w:rPr>
          <w:rFonts w:hint="eastAsia" w:ascii="仿宋_GB2312" w:eastAsia="仿宋_GB2312"/>
          <w:sz w:val="32"/>
        </w:rPr>
        <w:t>，</w:t>
      </w:r>
      <w:r>
        <w:rPr>
          <w:rFonts w:hint="eastAsia" w:ascii="仿宋_GB2312" w:hAnsi="仿宋_GB2312" w:eastAsia="仿宋_GB2312"/>
          <w:sz w:val="32"/>
        </w:rPr>
        <w:t>判处有期徒刑二年六个月，缓刑三年六个月，并处罚金人民币40000元</w:t>
      </w:r>
      <w:r>
        <w:rPr>
          <w:rFonts w:hint="eastAsia" w:ascii="仿宋_GB2312" w:eastAsia="仿宋_GB2312"/>
          <w:sz w:val="32"/>
        </w:rPr>
        <w:t>（缓刑考验期限，从判决确定之日起计算。在刑罚执行期间，被告人应当在相关组织接受社区矫正；</w:t>
      </w:r>
      <w:r>
        <w:rPr>
          <w:rFonts w:hint="eastAsia" w:ascii="仿宋_GB2312" w:hAnsi="仿宋_GB2312" w:eastAsia="仿宋_GB2312"/>
          <w:sz w:val="32"/>
        </w:rPr>
        <w:t>罚金自判决生效的第二日起十日内缴纳）。</w:t>
      </w:r>
    </w:p>
    <w:p>
      <w:pPr>
        <w:pStyle w:val="2"/>
        <w:spacing w:line="520" w:lineRule="exact"/>
        <w:ind w:firstLine="645"/>
        <w:rPr>
          <w:rFonts w:hint="eastAsia" w:ascii="仿宋_GB2312" w:eastAsia="仿宋_GB2312"/>
          <w:sz w:val="32"/>
        </w:rPr>
      </w:pPr>
      <w:r>
        <w:rPr>
          <w:rFonts w:hint="eastAsia" w:ascii="仿宋_GB2312" w:eastAsia="仿宋_GB2312"/>
          <w:sz w:val="32"/>
        </w:rPr>
        <w:t>如不服本判决，可在接到判决书的第二日起十日内，通过本院或者直接向天津市第一中级人民法院提出上诉，书面上诉的，应当提交上诉状正本一份、副本一份。</w:t>
      </w:r>
    </w:p>
    <w:p>
      <w:pPr>
        <w:rPr>
          <w:rFonts w:hint="eastAsia" w:ascii="仿宋_GB2312" w:eastAsia="仿宋_GB2312"/>
          <w:sz w:val="32"/>
          <w:szCs w:val="32"/>
        </w:rPr>
      </w:pPr>
      <w:r>
        <w:rPr>
          <w:rFonts w:hint="eastAsia" w:ascii="仿宋_GB2312" w:eastAsia="仿宋_GB2312"/>
          <w:sz w:val="32"/>
          <w:szCs w:val="32"/>
        </w:rPr>
        <w:t xml:space="preserve">                         </w:t>
      </w:r>
    </w:p>
    <w:p>
      <w:pPr>
        <w:rPr>
          <w:rFonts w:hint="eastAsia" w:ascii="仿宋_GB2312" w:eastAsia="仿宋_GB2312"/>
          <w:sz w:val="32"/>
          <w:szCs w:val="32"/>
        </w:rPr>
      </w:pPr>
    </w:p>
    <w:p>
      <w:pPr>
        <w:ind w:firstLine="3900" w:firstLineChars="1250"/>
        <w:rPr>
          <w:rFonts w:hint="eastAsia" w:ascii="仿宋_GB2312" w:eastAsia="仿宋_GB2312"/>
          <w:sz w:val="32"/>
          <w:szCs w:val="32"/>
        </w:rPr>
      </w:pPr>
      <w:r>
        <w:rPr>
          <w:rFonts w:hint="eastAsia" w:ascii="仿宋_GB2312" w:eastAsia="仿宋_GB2312"/>
          <w:sz w:val="32"/>
          <w:szCs w:val="32"/>
        </w:rPr>
        <w:t xml:space="preserve"> 审    判    长      李海峰 </w:t>
      </w:r>
    </w:p>
    <w:p>
      <w:pPr>
        <w:spacing w:line="520" w:lineRule="exact"/>
        <w:ind w:firstLine="4056" w:firstLineChars="1300"/>
        <w:rPr>
          <w:rFonts w:hint="eastAsia" w:ascii="仿宋_GB2312" w:eastAsia="仿宋_GB2312"/>
          <w:sz w:val="32"/>
          <w:szCs w:val="32"/>
        </w:rPr>
      </w:pPr>
      <w:r>
        <w:rPr>
          <w:rFonts w:hint="eastAsia" w:ascii="仿宋_GB2312" w:eastAsia="仿宋_GB2312"/>
          <w:sz w:val="32"/>
          <w:szCs w:val="32"/>
        </w:rPr>
        <w:t>人 民 陪 审 员      张宝和</w:t>
      </w:r>
    </w:p>
    <w:p>
      <w:pPr>
        <w:spacing w:line="520" w:lineRule="exact"/>
        <w:ind w:firstLine="4056" w:firstLineChars="1300"/>
        <w:rPr>
          <w:rFonts w:hint="eastAsia" w:ascii="仿宋_GB2312" w:eastAsia="仿宋_GB2312"/>
          <w:sz w:val="32"/>
          <w:szCs w:val="32"/>
        </w:rPr>
      </w:pPr>
      <w:r>
        <w:rPr>
          <w:rFonts w:hint="eastAsia" w:ascii="仿宋_GB2312" w:eastAsia="仿宋_GB2312"/>
          <w:sz w:val="32"/>
          <w:szCs w:val="32"/>
        </w:rPr>
        <w:t>人 民 陪 审 员      宋德生</w:t>
      </w:r>
    </w:p>
    <w:p>
      <w:pPr>
        <w:spacing w:line="520" w:lineRule="exact"/>
        <w:ind w:left="4674" w:leftChars="2314"/>
        <w:rPr>
          <w:rFonts w:hint="eastAsia" w:ascii="仿宋_GB2312" w:eastAsia="仿宋_GB2312"/>
          <w:sz w:val="32"/>
          <w:szCs w:val="32"/>
        </w:rPr>
      </w:pPr>
    </w:p>
    <w:p>
      <w:pPr>
        <w:spacing w:line="520" w:lineRule="exact"/>
        <w:ind w:left="4674" w:leftChars="2314"/>
        <w:rPr>
          <w:rFonts w:hint="eastAsia" w:ascii="仿宋_GB2312" w:eastAsia="仿宋_GB2312"/>
          <w:sz w:val="32"/>
          <w:szCs w:val="32"/>
        </w:rPr>
      </w:pPr>
    </w:p>
    <w:p>
      <w:pPr>
        <w:spacing w:line="520" w:lineRule="exact"/>
        <w:ind w:left="4674" w:leftChars="2314"/>
        <w:rPr>
          <w:rFonts w:hint="eastAsia" w:ascii="仿宋_GB2312" w:eastAsia="仿宋_GB2312"/>
          <w:sz w:val="32"/>
          <w:szCs w:val="32"/>
        </w:rPr>
      </w:pPr>
    </w:p>
    <w:p>
      <w:pPr>
        <w:spacing w:line="520" w:lineRule="exact"/>
        <w:ind w:firstLine="4056" w:firstLineChars="1300"/>
        <w:rPr>
          <w:rFonts w:hint="eastAsia" w:ascii="仿宋_GB2312" w:eastAsia="仿宋_GB2312"/>
          <w:sz w:val="32"/>
          <w:szCs w:val="32"/>
        </w:rPr>
      </w:pPr>
      <w:r>
        <w:rPr>
          <w:rFonts w:hint="eastAsia" w:ascii="仿宋_GB2312" w:eastAsia="仿宋_GB2312"/>
          <w:sz w:val="32"/>
          <w:szCs w:val="32"/>
        </w:rPr>
        <w:t>二 ○ 一 七 年 六 月 六 日</w:t>
      </w:r>
    </w:p>
    <w:p>
      <w:pPr>
        <w:spacing w:line="520" w:lineRule="exact"/>
        <w:ind w:left="4674" w:leftChars="2314"/>
        <w:rPr>
          <w:rFonts w:hint="eastAsia" w:ascii="仿宋_GB2312" w:eastAsia="仿宋_GB2312"/>
          <w:sz w:val="32"/>
          <w:szCs w:val="32"/>
        </w:rPr>
      </w:pPr>
    </w:p>
    <w:p>
      <w:pPr>
        <w:spacing w:line="520" w:lineRule="exact"/>
        <w:ind w:firstLine="4056" w:firstLineChars="1300"/>
        <w:rPr>
          <w:rFonts w:hint="eastAsia" w:ascii="仿宋_GB2312" w:eastAsia="仿宋_GB2312"/>
          <w:sz w:val="32"/>
          <w:szCs w:val="32"/>
        </w:rPr>
      </w:pPr>
      <w:r>
        <w:rPr>
          <w:rFonts w:hint="eastAsia" w:ascii="仿宋_GB2312" w:eastAsia="仿宋_GB2312"/>
          <w:sz w:val="32"/>
          <w:szCs w:val="32"/>
        </w:rPr>
        <w:t>书   记   员        金小雨</w:t>
      </w:r>
    </w:p>
    <w:p>
      <w:pPr>
        <w:spacing w:line="520" w:lineRule="exact"/>
        <w:ind w:firstLine="4056" w:firstLineChars="1300"/>
        <w:rPr>
          <w:rFonts w:hint="eastAsia" w:ascii="仿宋_GB2312" w:eastAsia="仿宋_GB2312"/>
          <w:sz w:val="32"/>
          <w:szCs w:val="32"/>
        </w:rPr>
      </w:pPr>
      <w:r>
        <w:rPr>
          <w:rFonts w:hint="eastAsia" w:ascii="仿宋_GB2312" w:eastAsia="仿宋_GB2312"/>
          <w:sz w:val="32"/>
          <w:szCs w:val="32"/>
        </w:rPr>
        <w:t xml:space="preserve"> </w:t>
      </w:r>
    </w:p>
    <w:p>
      <w:pPr>
        <w:pStyle w:val="2"/>
        <w:spacing w:line="520" w:lineRule="exact"/>
        <w:ind w:firstLine="612" w:firstLineChars="196"/>
        <w:rPr>
          <w:rFonts w:hint="eastAsia" w:ascii="仿宋_GB2312" w:eastAsia="仿宋_GB2312"/>
          <w:sz w:val="32"/>
        </w:rPr>
      </w:pPr>
      <w:r>
        <w:rPr>
          <w:rFonts w:hint="eastAsia" w:ascii="仿宋_GB2312" w:eastAsia="仿宋_GB2312"/>
          <w:sz w:val="32"/>
        </w:rPr>
        <w:t xml:space="preserve"> </w:t>
      </w:r>
    </w:p>
    <w:p>
      <w:pPr>
        <w:pStyle w:val="2"/>
        <w:spacing w:line="520" w:lineRule="exact"/>
        <w:ind w:firstLine="612" w:firstLineChars="196"/>
        <w:rPr>
          <w:rFonts w:hint="eastAsia" w:ascii="仿宋_GB2312" w:eastAsia="仿宋_GB2312"/>
          <w:sz w:val="32"/>
        </w:rPr>
      </w:pPr>
    </w:p>
    <w:p>
      <w:pPr>
        <w:pStyle w:val="2"/>
        <w:spacing w:line="520" w:lineRule="exact"/>
        <w:ind w:firstLine="612" w:firstLineChars="196"/>
        <w:rPr>
          <w:rFonts w:hint="eastAsia" w:ascii="仿宋_GB2312" w:hAnsi="宋体" w:eastAsia="仿宋_GB2312" w:cs="仿宋_GB2312"/>
          <w:sz w:val="32"/>
          <w:szCs w:val="32"/>
        </w:rPr>
      </w:pPr>
      <w:r>
        <w:rPr>
          <w:rFonts w:hint="eastAsia" w:ascii="仿宋_GB2312" w:hAnsi="宋体" w:eastAsia="仿宋_GB2312" w:cs="仿宋_GB2312"/>
          <w:sz w:val="32"/>
          <w:szCs w:val="32"/>
        </w:rPr>
        <w:t>附判决引用的《中华人民共和国刑法》相关规定：</w:t>
      </w:r>
    </w:p>
    <w:p>
      <w:pPr>
        <w:pStyle w:val="2"/>
        <w:tabs>
          <w:tab w:val="left" w:pos="3525"/>
        </w:tabs>
        <w:spacing w:line="520" w:lineRule="exact"/>
        <w:ind w:firstLine="624" w:firstLineChars="200"/>
        <w:rPr>
          <w:rFonts w:ascii="仿宋_GB2312" w:hAnsi="宋体" w:eastAsia="仿宋_GB2312"/>
          <w:sz w:val="32"/>
          <w:szCs w:val="32"/>
        </w:rPr>
      </w:pPr>
      <w:r>
        <w:rPr>
          <w:rFonts w:hint="eastAsia" w:ascii="仿宋_GB2312" w:hAnsi="Times New Roman" w:eastAsia="仿宋_GB2312" w:cs="仿宋_GB2312"/>
          <w:sz w:val="32"/>
          <w:szCs w:val="32"/>
        </w:rPr>
        <w:t>第一百九十六条</w:t>
      </w:r>
      <w:r>
        <w:rPr>
          <w:rFonts w:hint="eastAsia" w:ascii="仿宋_GB2312" w:hAnsi="宋体" w:eastAsia="仿宋_GB2312" w:cs="仿宋_GB2312"/>
          <w:b/>
          <w:bCs/>
          <w:smallCaps/>
          <w:color w:val="000000"/>
          <w:sz w:val="32"/>
          <w:szCs w:val="32"/>
        </w:rPr>
        <w:t xml:space="preserve">  </w:t>
      </w:r>
      <w:r>
        <w:rPr>
          <w:rFonts w:hint="eastAsia" w:ascii="仿宋_GB2312" w:hAnsi="宋体" w:eastAsia="仿宋_GB2312" w:cs="仿宋_GB2312"/>
          <w:sz w:val="32"/>
          <w:szCs w:val="32"/>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2"/>
        <w:tabs>
          <w:tab w:val="left" w:pos="3525"/>
        </w:tabs>
        <w:spacing w:line="520" w:lineRule="exact"/>
        <w:ind w:firstLine="624" w:firstLineChars="200"/>
        <w:rPr>
          <w:rFonts w:ascii="仿宋_GB2312" w:hAnsi="宋体" w:eastAsia="仿宋_GB2312"/>
          <w:sz w:val="32"/>
          <w:szCs w:val="32"/>
        </w:rPr>
      </w:pPr>
      <w:r>
        <w:rPr>
          <w:rFonts w:hint="eastAsia" w:ascii="仿宋_GB2312" w:hAnsi="宋体" w:eastAsia="仿宋_GB2312" w:cs="仿宋_GB2312"/>
          <w:sz w:val="32"/>
          <w:szCs w:val="32"/>
        </w:rPr>
        <w:t>（一）使用伪造的信用卡的；</w:t>
      </w:r>
    </w:p>
    <w:p>
      <w:pPr>
        <w:pStyle w:val="2"/>
        <w:tabs>
          <w:tab w:val="left" w:pos="3525"/>
        </w:tabs>
        <w:spacing w:line="520" w:lineRule="exact"/>
        <w:ind w:firstLine="624" w:firstLineChars="200"/>
        <w:rPr>
          <w:rFonts w:ascii="仿宋_GB2312" w:hAnsi="宋体" w:eastAsia="仿宋_GB2312"/>
          <w:sz w:val="32"/>
          <w:szCs w:val="32"/>
        </w:rPr>
      </w:pPr>
      <w:r>
        <w:rPr>
          <w:rFonts w:hint="eastAsia" w:ascii="仿宋_GB2312" w:hAnsi="宋体" w:eastAsia="仿宋_GB2312" w:cs="仿宋_GB2312"/>
          <w:sz w:val="32"/>
          <w:szCs w:val="32"/>
        </w:rPr>
        <w:t>（二）使用作废的信用卡的；</w:t>
      </w:r>
    </w:p>
    <w:p>
      <w:pPr>
        <w:pStyle w:val="2"/>
        <w:tabs>
          <w:tab w:val="left" w:pos="3525"/>
        </w:tabs>
        <w:spacing w:line="520" w:lineRule="exact"/>
        <w:ind w:firstLine="624" w:firstLineChars="200"/>
        <w:rPr>
          <w:rFonts w:ascii="仿宋_GB2312" w:hAnsi="宋体" w:eastAsia="仿宋_GB2312"/>
          <w:sz w:val="32"/>
          <w:szCs w:val="32"/>
        </w:rPr>
      </w:pPr>
      <w:r>
        <w:rPr>
          <w:rFonts w:hint="eastAsia" w:ascii="仿宋_GB2312" w:hAnsi="宋体" w:eastAsia="仿宋_GB2312" w:cs="仿宋_GB2312"/>
          <w:sz w:val="32"/>
          <w:szCs w:val="32"/>
        </w:rPr>
        <w:t>（三）冒用他人信用卡的；</w:t>
      </w:r>
    </w:p>
    <w:p>
      <w:pPr>
        <w:pStyle w:val="2"/>
        <w:tabs>
          <w:tab w:val="left" w:pos="3525"/>
        </w:tabs>
        <w:spacing w:line="520" w:lineRule="exact"/>
        <w:ind w:firstLine="624" w:firstLineChars="200"/>
        <w:rPr>
          <w:rFonts w:ascii="仿宋_GB2312" w:hAnsi="宋体" w:eastAsia="仿宋_GB2312"/>
          <w:sz w:val="32"/>
          <w:szCs w:val="32"/>
        </w:rPr>
      </w:pPr>
      <w:r>
        <w:rPr>
          <w:rFonts w:hint="eastAsia" w:ascii="仿宋_GB2312" w:hAnsi="宋体" w:eastAsia="仿宋_GB2312" w:cs="仿宋_GB2312"/>
          <w:sz w:val="32"/>
          <w:szCs w:val="32"/>
        </w:rPr>
        <w:t>（四）恶意透支的。</w:t>
      </w:r>
    </w:p>
    <w:p>
      <w:pPr>
        <w:pStyle w:val="2"/>
        <w:tabs>
          <w:tab w:val="left" w:pos="3525"/>
        </w:tabs>
        <w:spacing w:line="520" w:lineRule="exact"/>
        <w:ind w:firstLine="624" w:firstLineChars="200"/>
        <w:rPr>
          <w:rFonts w:hint="eastAsia" w:ascii="仿宋_GB2312" w:hAnsi="宋体" w:eastAsia="仿宋_GB2312" w:cs="仿宋_GB2312"/>
          <w:sz w:val="32"/>
          <w:szCs w:val="32"/>
        </w:rPr>
      </w:pPr>
      <w:r>
        <w:rPr>
          <w:rFonts w:hint="eastAsia" w:ascii="仿宋_GB2312" w:hAnsi="宋体" w:eastAsia="仿宋_GB2312" w:cs="仿宋_GB2312"/>
          <w:sz w:val="32"/>
          <w:szCs w:val="32"/>
        </w:rPr>
        <w:t>前款所称恶意透支，是指持卡人以非法占有为目的，超过规定限额或者规定期限透支，并且经发卡银行催收后仍不归还的行为。</w:t>
      </w:r>
    </w:p>
    <w:p>
      <w:pPr>
        <w:pStyle w:val="2"/>
        <w:tabs>
          <w:tab w:val="left" w:pos="3525"/>
        </w:tabs>
        <w:spacing w:line="520" w:lineRule="exact"/>
        <w:ind w:firstLine="624" w:firstLineChars="200"/>
        <w:rPr>
          <w:rFonts w:hint="eastAsia" w:ascii="仿宋_GB2312" w:hAnsi="宋体" w:eastAsia="仿宋_GB2312" w:cs="仿宋_GB2312"/>
          <w:sz w:val="32"/>
          <w:szCs w:val="32"/>
        </w:rPr>
      </w:pPr>
      <w:r>
        <w:rPr>
          <w:rFonts w:hint="eastAsia" w:ascii="仿宋_GB2312" w:hAnsi="宋体" w:eastAsia="仿宋_GB2312" w:cs="仿宋_GB2312"/>
          <w:sz w:val="32"/>
          <w:szCs w:val="32"/>
        </w:rPr>
        <w:t>盗窃信用卡并使用的，依照本法第二百六十四条的规定定罪处罚。</w:t>
      </w:r>
    </w:p>
    <w:p>
      <w:pPr>
        <w:pStyle w:val="2"/>
        <w:ind w:firstLine="624" w:firstLineChars="200"/>
        <w:rPr>
          <w:rFonts w:hint="eastAsia" w:ascii="仿宋_GB2312" w:eastAsia="仿宋_GB2312"/>
          <w:sz w:val="32"/>
          <w:szCs w:val="32"/>
        </w:rPr>
      </w:pPr>
      <w:r>
        <w:rPr>
          <w:rFonts w:hint="eastAsia" w:ascii="仿宋_GB2312" w:eastAsia="仿宋_GB2312"/>
          <w:sz w:val="32"/>
          <w:szCs w:val="32"/>
        </w:rPr>
        <w:t>第七十二条：对于被判处拘役、三年以下有期徒刑的犯罪分子，同时符合下列条件的，可以宣告缓刑，对其中不满十八周岁的人、怀孕的妇女和已满七十五周岁的人，应当宣告缓刑：</w:t>
      </w:r>
    </w:p>
    <w:p>
      <w:pPr>
        <w:pStyle w:val="2"/>
        <w:ind w:firstLine="624" w:firstLineChars="200"/>
        <w:rPr>
          <w:rFonts w:hint="eastAsia" w:ascii="仿宋_GB2312" w:eastAsia="仿宋_GB2312"/>
          <w:sz w:val="32"/>
          <w:szCs w:val="32"/>
        </w:rPr>
      </w:pPr>
      <w:r>
        <w:rPr>
          <w:rFonts w:hint="eastAsia" w:ascii="仿宋_GB2312" w:eastAsia="仿宋_GB2312"/>
          <w:sz w:val="32"/>
          <w:szCs w:val="32"/>
        </w:rPr>
        <w:t>（一）犯罪情节较轻；</w:t>
      </w:r>
    </w:p>
    <w:p>
      <w:pPr>
        <w:pStyle w:val="2"/>
        <w:ind w:firstLine="624" w:firstLineChars="200"/>
        <w:rPr>
          <w:rFonts w:hint="eastAsia" w:ascii="仿宋_GB2312" w:eastAsia="仿宋_GB2312"/>
          <w:sz w:val="32"/>
          <w:szCs w:val="32"/>
        </w:rPr>
      </w:pPr>
      <w:r>
        <w:rPr>
          <w:rFonts w:hint="eastAsia" w:ascii="仿宋_GB2312" w:eastAsia="仿宋_GB2312"/>
          <w:sz w:val="32"/>
          <w:szCs w:val="32"/>
        </w:rPr>
        <w:t>（二）有悔罪表现；</w:t>
      </w:r>
    </w:p>
    <w:p>
      <w:pPr>
        <w:pStyle w:val="2"/>
        <w:ind w:firstLine="624" w:firstLineChars="200"/>
        <w:rPr>
          <w:rFonts w:hint="eastAsia" w:ascii="仿宋_GB2312" w:eastAsia="仿宋_GB2312"/>
          <w:sz w:val="32"/>
          <w:szCs w:val="32"/>
        </w:rPr>
      </w:pPr>
      <w:r>
        <w:rPr>
          <w:rFonts w:hint="eastAsia" w:ascii="仿宋_GB2312" w:eastAsia="仿宋_GB2312"/>
          <w:sz w:val="32"/>
          <w:szCs w:val="32"/>
        </w:rPr>
        <w:t>（三）没有再犯罪的危险；</w:t>
      </w:r>
    </w:p>
    <w:p>
      <w:pPr>
        <w:pStyle w:val="2"/>
        <w:ind w:firstLine="624" w:firstLineChars="200"/>
        <w:rPr>
          <w:rFonts w:hint="eastAsia" w:ascii="仿宋_GB2312" w:eastAsia="仿宋_GB2312"/>
          <w:sz w:val="32"/>
          <w:szCs w:val="32"/>
        </w:rPr>
      </w:pPr>
      <w:r>
        <w:rPr>
          <w:rFonts w:hint="eastAsia" w:ascii="仿宋_GB2312" w:eastAsia="仿宋_GB2312"/>
          <w:sz w:val="32"/>
          <w:szCs w:val="32"/>
        </w:rPr>
        <w:t>（四）宣告缓刑对所居住社区没有重大不良影响。</w:t>
      </w:r>
    </w:p>
    <w:p>
      <w:pPr>
        <w:pStyle w:val="2"/>
        <w:ind w:firstLine="624" w:firstLineChars="200"/>
        <w:rPr>
          <w:rFonts w:hint="eastAsia" w:ascii="仿宋_GB2312" w:eastAsia="仿宋_GB2312"/>
          <w:sz w:val="32"/>
          <w:szCs w:val="32"/>
        </w:rPr>
      </w:pPr>
      <w:r>
        <w:rPr>
          <w:rFonts w:hint="eastAsia" w:ascii="仿宋_GB2312" w:eastAsia="仿宋_GB2312"/>
          <w:sz w:val="32"/>
          <w:szCs w:val="32"/>
        </w:rPr>
        <w:t>宣告缓刑，可以根据犯罪情况，同时禁止犯罪分子在缓刑考验期限内从事特定活动，进入特定区域、场所，接触特定的人。</w:t>
      </w:r>
    </w:p>
    <w:p>
      <w:pPr>
        <w:pStyle w:val="2"/>
        <w:ind w:firstLine="624" w:firstLineChars="200"/>
        <w:rPr>
          <w:rFonts w:hint="eastAsia" w:ascii="仿宋_GB2312" w:eastAsia="仿宋_GB2312"/>
          <w:sz w:val="32"/>
          <w:szCs w:val="32"/>
        </w:rPr>
      </w:pPr>
      <w:r>
        <w:rPr>
          <w:rFonts w:hint="eastAsia" w:ascii="仿宋_GB2312" w:eastAsia="仿宋_GB2312"/>
          <w:sz w:val="32"/>
          <w:szCs w:val="32"/>
        </w:rPr>
        <w:t>被宣告缓刑的犯罪分子，如果被判处附加刑，附加刑仍须执行。</w:t>
      </w:r>
    </w:p>
    <w:p>
      <w:pPr>
        <w:pStyle w:val="2"/>
        <w:ind w:firstLine="624" w:firstLineChars="200"/>
        <w:rPr>
          <w:rFonts w:hint="eastAsia" w:ascii="仿宋_GB2312" w:eastAsia="仿宋_GB2312"/>
          <w:sz w:val="32"/>
          <w:szCs w:val="32"/>
        </w:rPr>
      </w:pPr>
      <w:r>
        <w:rPr>
          <w:rFonts w:hint="eastAsia" w:ascii="仿宋_GB2312" w:eastAsia="仿宋_GB2312"/>
          <w:sz w:val="32"/>
          <w:szCs w:val="32"/>
        </w:rPr>
        <w:t>第七十三条：拘役的缓刑考验期限为原判刑期以上一年以下，但是不能少于二个月。</w:t>
      </w:r>
    </w:p>
    <w:p>
      <w:pPr>
        <w:pStyle w:val="2"/>
        <w:ind w:firstLine="624" w:firstLineChars="200"/>
        <w:rPr>
          <w:rFonts w:hint="eastAsia" w:ascii="仿宋_GB2312" w:eastAsia="仿宋_GB2312"/>
          <w:sz w:val="32"/>
          <w:szCs w:val="32"/>
        </w:rPr>
      </w:pPr>
      <w:r>
        <w:rPr>
          <w:rFonts w:hint="eastAsia" w:ascii="仿宋_GB2312" w:eastAsia="仿宋_GB2312"/>
          <w:sz w:val="32"/>
          <w:szCs w:val="32"/>
        </w:rPr>
        <w:t>有期徒刑的缓刑考验期限为原判刑期以上五年以下，但是不能少于一年。</w:t>
      </w:r>
    </w:p>
    <w:p>
      <w:pPr>
        <w:pStyle w:val="2"/>
        <w:ind w:firstLine="624" w:firstLineChars="200"/>
        <w:rPr>
          <w:rFonts w:hint="eastAsia" w:ascii="仿宋_GB2312" w:eastAsia="仿宋_GB2312"/>
          <w:sz w:val="32"/>
          <w:szCs w:val="32"/>
        </w:rPr>
      </w:pPr>
      <w:r>
        <w:rPr>
          <w:rFonts w:hint="eastAsia" w:ascii="仿宋_GB2312" w:eastAsia="仿宋_GB2312"/>
          <w:sz w:val="32"/>
          <w:szCs w:val="32"/>
        </w:rPr>
        <w:t>缓刑考验期限，从判决确定之日起计算。</w:t>
      </w:r>
    </w:p>
    <w:p>
      <w:pPr>
        <w:widowControl/>
        <w:wordWrap w:val="0"/>
        <w:ind w:firstLine="864" w:firstLineChars="200"/>
        <w:rPr>
          <w:rFonts w:hint="eastAsia" w:hAnsi="宋体"/>
          <w:sz w:val="44"/>
        </w:rPr>
      </w:pPr>
    </w:p>
    <w:sectPr>
      <w:footerReference r:id="rId3" w:type="default"/>
      <w:footerReference r:id="rId4" w:type="even"/>
      <w:pgSz w:w="11906" w:h="16838"/>
      <w:pgMar w:top="2041" w:right="1531" w:bottom="2041" w:left="1531" w:header="851" w:footer="1134" w:gutter="0"/>
      <w:cols w:space="720" w:num="1"/>
      <w:docGrid w:type="linesAndChars" w:linePitch="490" w:charSpace="-18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Narrow">
    <w:panose1 w:val="020B0606020202030204"/>
    <w:charset w:val="00"/>
    <w:family w:val="swiss"/>
    <w:pitch w:val="default"/>
    <w:sig w:usb0="00000287" w:usb1="00000800" w:usb2="00000000" w:usb3="00000000" w:csb0="2000009F" w:csb1="DFD7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方正小标宋简体">
    <w:altName w:val="微软雅黑"/>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hint="eastAsia"/>
      </w:rPr>
    </w:pPr>
    <w:r>
      <w:fldChar w:fldCharType="begin"/>
    </w:r>
    <w:r>
      <w:instrText xml:space="preserve"> PAGE   \* MERGEFORMAT </w:instrText>
    </w:r>
    <w:r>
      <w:rPr>
        <w:rFonts w:hint="eastAsia"/>
      </w:rPr>
      <w:fldChar w:fldCharType="separate"/>
    </w:r>
    <w:r>
      <w:rPr>
        <w:lang w:val="zh-CN"/>
      </w:rPr>
      <w:t>1</w:t>
    </w:r>
    <w: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rPr>
    </w:pPr>
    <w:r>
      <w:fldChar w:fldCharType="begin"/>
    </w:r>
    <w:r>
      <w:instrText xml:space="preserve"> PAGE   \* MERGEFORMAT </w:instrText>
    </w:r>
    <w:r>
      <w:rPr>
        <w:rFonts w:hint="eastAsia"/>
      </w:rPr>
      <w:fldChar w:fldCharType="separate"/>
    </w:r>
    <w:r>
      <w:rPr>
        <w:lang w:val="zh-CN"/>
      </w:rPr>
      <w:t>2</w:t>
    </w:r>
    <w: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201"/>
  <w:drawingGridVerticalSpacing w:val="245"/>
  <w:displayHorizontalDrawingGridEvery w:val="1"/>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C3DEE"/>
    <w:rsid w:val="000006A8"/>
    <w:rsid w:val="0000627F"/>
    <w:rsid w:val="000263BF"/>
    <w:rsid w:val="000532C4"/>
    <w:rsid w:val="00060246"/>
    <w:rsid w:val="00080F0F"/>
    <w:rsid w:val="000946EB"/>
    <w:rsid w:val="000959A7"/>
    <w:rsid w:val="000D1C96"/>
    <w:rsid w:val="000E4925"/>
    <w:rsid w:val="000F3821"/>
    <w:rsid w:val="000F60AC"/>
    <w:rsid w:val="00102AC0"/>
    <w:rsid w:val="001069C2"/>
    <w:rsid w:val="00133142"/>
    <w:rsid w:val="001513E0"/>
    <w:rsid w:val="00184339"/>
    <w:rsid w:val="00190389"/>
    <w:rsid w:val="001E0746"/>
    <w:rsid w:val="002167FC"/>
    <w:rsid w:val="00217982"/>
    <w:rsid w:val="00225803"/>
    <w:rsid w:val="002414DA"/>
    <w:rsid w:val="00271F6F"/>
    <w:rsid w:val="002774BF"/>
    <w:rsid w:val="002804E4"/>
    <w:rsid w:val="002A2FDA"/>
    <w:rsid w:val="002E134B"/>
    <w:rsid w:val="002E5158"/>
    <w:rsid w:val="002E7CB4"/>
    <w:rsid w:val="00317860"/>
    <w:rsid w:val="003219F8"/>
    <w:rsid w:val="00331185"/>
    <w:rsid w:val="00351A6C"/>
    <w:rsid w:val="00351E2E"/>
    <w:rsid w:val="003520F4"/>
    <w:rsid w:val="00371C4F"/>
    <w:rsid w:val="0038033F"/>
    <w:rsid w:val="003C1DAE"/>
    <w:rsid w:val="003D0EA5"/>
    <w:rsid w:val="003D4F24"/>
    <w:rsid w:val="003E6C70"/>
    <w:rsid w:val="003F29C4"/>
    <w:rsid w:val="004004E1"/>
    <w:rsid w:val="004253CB"/>
    <w:rsid w:val="004279AB"/>
    <w:rsid w:val="00430EE5"/>
    <w:rsid w:val="00445D0B"/>
    <w:rsid w:val="00454C7D"/>
    <w:rsid w:val="00455374"/>
    <w:rsid w:val="00463E98"/>
    <w:rsid w:val="004917A8"/>
    <w:rsid w:val="00492C11"/>
    <w:rsid w:val="00497F6B"/>
    <w:rsid w:val="004A400E"/>
    <w:rsid w:val="004C4E85"/>
    <w:rsid w:val="00515292"/>
    <w:rsid w:val="00516BD9"/>
    <w:rsid w:val="005176C4"/>
    <w:rsid w:val="00537436"/>
    <w:rsid w:val="00546BEF"/>
    <w:rsid w:val="00570933"/>
    <w:rsid w:val="005B4C76"/>
    <w:rsid w:val="005B7C87"/>
    <w:rsid w:val="005C3D87"/>
    <w:rsid w:val="005C5EB9"/>
    <w:rsid w:val="005D6AFD"/>
    <w:rsid w:val="005E5B23"/>
    <w:rsid w:val="005F4143"/>
    <w:rsid w:val="00610003"/>
    <w:rsid w:val="006227C6"/>
    <w:rsid w:val="00625AD3"/>
    <w:rsid w:val="00633AB7"/>
    <w:rsid w:val="00647BBC"/>
    <w:rsid w:val="00680E0D"/>
    <w:rsid w:val="006811B3"/>
    <w:rsid w:val="0068479D"/>
    <w:rsid w:val="0069371A"/>
    <w:rsid w:val="006B0DAC"/>
    <w:rsid w:val="006D148B"/>
    <w:rsid w:val="006D1F75"/>
    <w:rsid w:val="006E1D71"/>
    <w:rsid w:val="0072000B"/>
    <w:rsid w:val="00724ECE"/>
    <w:rsid w:val="00734007"/>
    <w:rsid w:val="00781051"/>
    <w:rsid w:val="007829F2"/>
    <w:rsid w:val="00787854"/>
    <w:rsid w:val="007C2FDE"/>
    <w:rsid w:val="007C6FA1"/>
    <w:rsid w:val="007D15CD"/>
    <w:rsid w:val="007E3453"/>
    <w:rsid w:val="0081210B"/>
    <w:rsid w:val="0082114B"/>
    <w:rsid w:val="00831F98"/>
    <w:rsid w:val="00850B55"/>
    <w:rsid w:val="008646D9"/>
    <w:rsid w:val="00873415"/>
    <w:rsid w:val="00873BAA"/>
    <w:rsid w:val="008C335B"/>
    <w:rsid w:val="00910E3B"/>
    <w:rsid w:val="00937E3F"/>
    <w:rsid w:val="00974963"/>
    <w:rsid w:val="00976A35"/>
    <w:rsid w:val="00981FA5"/>
    <w:rsid w:val="0099125E"/>
    <w:rsid w:val="009915C9"/>
    <w:rsid w:val="009A7ADC"/>
    <w:rsid w:val="00A011BE"/>
    <w:rsid w:val="00A11FE7"/>
    <w:rsid w:val="00A277D9"/>
    <w:rsid w:val="00A31F28"/>
    <w:rsid w:val="00A41823"/>
    <w:rsid w:val="00A642CD"/>
    <w:rsid w:val="00A645B0"/>
    <w:rsid w:val="00A815E3"/>
    <w:rsid w:val="00AA3FEF"/>
    <w:rsid w:val="00AB5699"/>
    <w:rsid w:val="00AB7B4A"/>
    <w:rsid w:val="00AC3A86"/>
    <w:rsid w:val="00AD2407"/>
    <w:rsid w:val="00AE34ED"/>
    <w:rsid w:val="00AF0DF5"/>
    <w:rsid w:val="00B00EAC"/>
    <w:rsid w:val="00B04FD2"/>
    <w:rsid w:val="00B24610"/>
    <w:rsid w:val="00B77DEA"/>
    <w:rsid w:val="00BB241C"/>
    <w:rsid w:val="00BB356F"/>
    <w:rsid w:val="00BC2ECD"/>
    <w:rsid w:val="00BC3DEE"/>
    <w:rsid w:val="00BD19B4"/>
    <w:rsid w:val="00BE5E6E"/>
    <w:rsid w:val="00BE6D55"/>
    <w:rsid w:val="00BF1EB2"/>
    <w:rsid w:val="00C32D54"/>
    <w:rsid w:val="00C331BE"/>
    <w:rsid w:val="00C405FB"/>
    <w:rsid w:val="00C5116E"/>
    <w:rsid w:val="00C5506E"/>
    <w:rsid w:val="00C73D53"/>
    <w:rsid w:val="00C95271"/>
    <w:rsid w:val="00CA188F"/>
    <w:rsid w:val="00CA1ECE"/>
    <w:rsid w:val="00CC3BD9"/>
    <w:rsid w:val="00CC6C5C"/>
    <w:rsid w:val="00CD54F4"/>
    <w:rsid w:val="00CE0FB9"/>
    <w:rsid w:val="00CE70AC"/>
    <w:rsid w:val="00CE7393"/>
    <w:rsid w:val="00D0086B"/>
    <w:rsid w:val="00D1751B"/>
    <w:rsid w:val="00D219BA"/>
    <w:rsid w:val="00D27FC2"/>
    <w:rsid w:val="00D41062"/>
    <w:rsid w:val="00D43E8B"/>
    <w:rsid w:val="00D571FC"/>
    <w:rsid w:val="00D7466B"/>
    <w:rsid w:val="00D77F6A"/>
    <w:rsid w:val="00D8517D"/>
    <w:rsid w:val="00D87AA5"/>
    <w:rsid w:val="00D9249F"/>
    <w:rsid w:val="00D969AB"/>
    <w:rsid w:val="00DB388C"/>
    <w:rsid w:val="00DC73D0"/>
    <w:rsid w:val="00DD5EC6"/>
    <w:rsid w:val="00DF0D62"/>
    <w:rsid w:val="00DF32DB"/>
    <w:rsid w:val="00E006FE"/>
    <w:rsid w:val="00E02AAC"/>
    <w:rsid w:val="00E33952"/>
    <w:rsid w:val="00E519B1"/>
    <w:rsid w:val="00E531EE"/>
    <w:rsid w:val="00EA1223"/>
    <w:rsid w:val="00EA618C"/>
    <w:rsid w:val="00EA6DA9"/>
    <w:rsid w:val="00EC515C"/>
    <w:rsid w:val="00ED3383"/>
    <w:rsid w:val="00EF2D2E"/>
    <w:rsid w:val="00EF5F50"/>
    <w:rsid w:val="00F14735"/>
    <w:rsid w:val="00F22421"/>
    <w:rsid w:val="00F414BA"/>
    <w:rsid w:val="00F52C79"/>
    <w:rsid w:val="00F53F09"/>
    <w:rsid w:val="00F773D5"/>
    <w:rsid w:val="00F80A17"/>
    <w:rsid w:val="00F871A9"/>
    <w:rsid w:val="00FA57EA"/>
    <w:rsid w:val="00FA7E50"/>
    <w:rsid w:val="00FB03C0"/>
    <w:rsid w:val="00FD7BA5"/>
    <w:rsid w:val="00FE15D7"/>
    <w:rsid w:val="01CA4192"/>
    <w:rsid w:val="04467D92"/>
    <w:rsid w:val="09B61534"/>
    <w:rsid w:val="103F598D"/>
    <w:rsid w:val="14074700"/>
    <w:rsid w:val="148722A2"/>
    <w:rsid w:val="1F1C58D3"/>
    <w:rsid w:val="23CF38CC"/>
    <w:rsid w:val="242F30CC"/>
    <w:rsid w:val="2F2D7022"/>
    <w:rsid w:val="300413ED"/>
    <w:rsid w:val="34A5496B"/>
    <w:rsid w:val="35A02356"/>
    <w:rsid w:val="369E3D02"/>
    <w:rsid w:val="38BE4EA5"/>
    <w:rsid w:val="39A054EF"/>
    <w:rsid w:val="3A6677DF"/>
    <w:rsid w:val="418C5269"/>
    <w:rsid w:val="41C52874"/>
    <w:rsid w:val="42297F07"/>
    <w:rsid w:val="42C159A0"/>
    <w:rsid w:val="439C027C"/>
    <w:rsid w:val="44454157"/>
    <w:rsid w:val="4E5A2C32"/>
    <w:rsid w:val="51E80D70"/>
    <w:rsid w:val="5320667A"/>
    <w:rsid w:val="55292147"/>
    <w:rsid w:val="57871C23"/>
    <w:rsid w:val="593A4AEF"/>
    <w:rsid w:val="5B94025A"/>
    <w:rsid w:val="5C3E76E6"/>
    <w:rsid w:val="5D061A48"/>
    <w:rsid w:val="5E16407F"/>
    <w:rsid w:val="6DD42FE0"/>
    <w:rsid w:val="74B701BC"/>
    <w:rsid w:val="76FA2C30"/>
    <w:rsid w:val="79275D8A"/>
    <w:rsid w:val="7A957CCD"/>
    <w:rsid w:val="7C7620C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Plain Text"/>
    <w:basedOn w:val="1"/>
    <w:link w:val="11"/>
    <w:uiPriority w:val="0"/>
    <w:rPr>
      <w:rFonts w:ascii="宋体" w:hAnsi="Courier New" w:cs="Courier New"/>
      <w:szCs w:val="21"/>
    </w:rPr>
  </w:style>
  <w:style w:type="paragraph" w:styleId="3">
    <w:name w:val="footer"/>
    <w:basedOn w:val="1"/>
    <w:link w:val="13"/>
    <w:uiPriority w:val="99"/>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uiPriority w:val="0"/>
    <w:pPr>
      <w:widowControl/>
      <w:jc w:val="left"/>
    </w:pPr>
    <w:rPr>
      <w:rFonts w:ascii="Arial Narrow" w:hAnsi="Arial Narrow" w:cs="宋体"/>
      <w:kern w:val="0"/>
      <w:sz w:val="18"/>
      <w:szCs w:val="18"/>
    </w:rPr>
  </w:style>
  <w:style w:type="paragraph" w:customStyle="1" w:styleId="8">
    <w:name w:val="Char"/>
    <w:basedOn w:val="1"/>
    <w:qFormat/>
    <w:uiPriority w:val="0"/>
    <w:pPr>
      <w:widowControl/>
      <w:spacing w:after="160" w:line="240" w:lineRule="exact"/>
      <w:jc w:val="left"/>
    </w:pPr>
    <w:rPr>
      <w:rFonts w:ascii="Verdana" w:hAnsi="Verdana" w:eastAsia="仿宋_GB2312"/>
      <w:kern w:val="0"/>
      <w:sz w:val="24"/>
      <w:szCs w:val="20"/>
      <w:lang w:eastAsia="en-US"/>
    </w:rPr>
  </w:style>
  <w:style w:type="paragraph" w:customStyle="1" w:styleId="9">
    <w:name w:val="plain text"/>
    <w:basedOn w:val="1"/>
    <w:link w:val="12"/>
    <w:qFormat/>
    <w:uiPriority w:val="0"/>
    <w:rPr>
      <w:rFonts w:ascii="宋体" w:hAnsi="Courier New" w:cs="Courier New"/>
      <w:szCs w:val="21"/>
    </w:rPr>
  </w:style>
  <w:style w:type="paragraph" w:customStyle="1" w:styleId="10">
    <w:name w:val="p0"/>
    <w:basedOn w:val="1"/>
    <w:qFormat/>
    <w:uiPriority w:val="0"/>
    <w:pPr>
      <w:widowControl/>
    </w:pPr>
    <w:rPr>
      <w:kern w:val="0"/>
      <w:szCs w:val="20"/>
    </w:rPr>
  </w:style>
  <w:style w:type="character" w:customStyle="1" w:styleId="11">
    <w:name w:val="纯文本 Char"/>
    <w:basedOn w:val="6"/>
    <w:link w:val="2"/>
    <w:qFormat/>
    <w:uiPriority w:val="0"/>
    <w:rPr>
      <w:rFonts w:ascii="宋体" w:hAnsi="Courier New" w:eastAsia="宋体" w:cs="Courier New"/>
      <w:kern w:val="2"/>
      <w:sz w:val="21"/>
      <w:szCs w:val="21"/>
      <w:lang w:val="en-US" w:eastAsia="zh-CN" w:bidi="ar-SA"/>
    </w:rPr>
  </w:style>
  <w:style w:type="character" w:customStyle="1" w:styleId="12">
    <w:name w:val="纯文本 Char Char Char"/>
    <w:basedOn w:val="6"/>
    <w:link w:val="9"/>
    <w:qFormat/>
    <w:uiPriority w:val="0"/>
    <w:rPr>
      <w:rFonts w:ascii="宋体" w:hAnsi="Courier New" w:cs="Courier New"/>
      <w:kern w:val="2"/>
      <w:sz w:val="21"/>
      <w:szCs w:val="21"/>
    </w:rPr>
  </w:style>
  <w:style w:type="character" w:customStyle="1" w:styleId="13">
    <w:name w:val="页脚 Char"/>
    <w:basedOn w:val="6"/>
    <w:link w:val="3"/>
    <w:qFormat/>
    <w:uiPriority w:val="99"/>
    <w:rPr>
      <w:kern w:val="2"/>
      <w:sz w:val="18"/>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 China</Company>
  <Pages>5</Pages>
  <Words>325</Words>
  <Characters>1858</Characters>
  <Lines>15</Lines>
  <Paragraphs>4</Paragraphs>
  <TotalTime>0</TotalTime>
  <ScaleCrop>false</ScaleCrop>
  <LinksUpToDate>false</LinksUpToDate>
  <CharactersWithSpaces>2179</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2016-09-20T09:17:00Z</dcterms:created>
  <dc:creator>FreeUser</dc:creator>
  <cp:lastModifiedBy>TF-PC</cp:lastModifiedBy>
  <cp:lastPrinted>2017-05-11T07:41:00Z</cp:lastPrinted>
  <dcterms:modified xsi:type="dcterms:W3CDTF">2018-08-27T09:41:18Z</dcterms:modified>
  <dc:title>阅   卷  笔  录</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