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rPr>
          <w:rFonts w:hint="eastAsia" w:ascii="宋体" w:hAnsi="宋体" w:eastAsia="宋体"/>
        </w:rPr>
      </w:pPr>
      <w:bookmarkStart w:id="0" w:name="_GoBack"/>
      <w:bookmarkEnd w:id="0"/>
    </w:p>
    <w:p>
      <w:pPr>
        <w:pStyle w:val="19"/>
        <w:rPr>
          <w:rFonts w:hint="eastAsia" w:ascii="宋体" w:hAnsi="宋体" w:eastAsia="宋体"/>
        </w:rPr>
      </w:pPr>
    </w:p>
    <w:p>
      <w:pPr>
        <w:pStyle w:val="19"/>
        <w:rPr>
          <w:rFonts w:ascii="宋体" w:hAnsi="宋体" w:eastAsia="宋体"/>
        </w:rPr>
      </w:pPr>
      <w:r>
        <w:rPr>
          <w:rFonts w:hint="eastAsia" w:ascii="宋体" w:hAnsi="宋体" w:eastAsia="宋体"/>
        </w:rPr>
        <w:t>天津市蓟州区人民法院</w:t>
      </w:r>
    </w:p>
    <w:p>
      <w:pPr>
        <w:pStyle w:val="20"/>
        <w:rPr>
          <w:rFonts w:ascii="宋体" w:hAnsi="宋体" w:eastAsia="宋体"/>
        </w:rPr>
      </w:pPr>
      <w:r>
        <w:rPr>
          <w:rFonts w:hint="eastAsia" w:ascii="宋体" w:hAnsi="宋体" w:eastAsia="宋体"/>
        </w:rPr>
        <w:t>刑事判决书</w:t>
      </w:r>
    </w:p>
    <w:p>
      <w:pPr>
        <w:pStyle w:val="21"/>
        <w:ind w:right="632"/>
      </w:pPr>
    </w:p>
    <w:p>
      <w:pPr>
        <w:pStyle w:val="21"/>
        <w:ind w:right="56" w:rightChars="18"/>
      </w:pPr>
      <w:r>
        <w:rPr>
          <w:rFonts w:hint="eastAsia"/>
        </w:rPr>
        <w:t>（</w:t>
      </w:r>
      <w:r>
        <w:t>2018）津0119刑初199号</w:t>
      </w:r>
    </w:p>
    <w:p/>
    <w:p>
      <w:pPr>
        <w:pStyle w:val="22"/>
        <w:spacing w:line="560" w:lineRule="exact"/>
        <w:ind w:firstLine="632"/>
      </w:pPr>
      <w:r>
        <w:rPr>
          <w:rFonts w:hint="eastAsia"/>
        </w:rPr>
        <w:t>公诉机关</w:t>
      </w:r>
      <w:r>
        <w:rPr>
          <w:rFonts w:hint="eastAsia" w:ascii="Calibri" w:hAnsi="Calibri"/>
        </w:rPr>
        <w:t>天津市</w:t>
      </w:r>
      <w:r>
        <w:rPr>
          <w:rFonts w:hint="eastAsia"/>
        </w:rPr>
        <w:t>蓟州区人民检察院。</w:t>
      </w:r>
    </w:p>
    <w:p>
      <w:pPr>
        <w:pStyle w:val="23"/>
        <w:spacing w:line="560" w:lineRule="exact"/>
        <w:ind w:firstLine="632"/>
        <w:rPr>
          <w:rFonts w:hint="eastAsia"/>
        </w:rPr>
      </w:pPr>
      <w:r>
        <w:rPr>
          <w:rFonts w:hint="eastAsia"/>
        </w:rPr>
        <w:t>被告人王宗伟，男，1981年10月10日出生于天津市蓟州区，公民身份号码：12022519811010433X，汉族，初中文化，农民，群众，住天津市蓟州区上仓镇东桥头村3区97号。因涉嫌信用卡诈骗于2017年9月7日在天津市公安局蓟州分局被取保候审。2018年3月1日在本院被取保候审。</w:t>
      </w:r>
    </w:p>
    <w:p>
      <w:pPr>
        <w:pStyle w:val="23"/>
        <w:spacing w:line="560" w:lineRule="exact"/>
        <w:ind w:firstLine="632"/>
      </w:pPr>
      <w:r>
        <w:rPr>
          <w:rFonts w:hint="eastAsia"/>
        </w:rPr>
        <w:t>被告人王宗伟被控信用卡诈骗一案，天津市蓟州区人民检察院于</w:t>
      </w:r>
      <w:r>
        <w:t>201</w:t>
      </w:r>
      <w:r>
        <w:rPr>
          <w:rFonts w:hint="eastAsia"/>
        </w:rPr>
        <w:t>8</w:t>
      </w:r>
      <w:r>
        <w:t>年2月2</w:t>
      </w:r>
      <w:r>
        <w:rPr>
          <w:rFonts w:hint="eastAsia"/>
        </w:rPr>
        <w:t>8</w:t>
      </w:r>
      <w:r>
        <w:t>日以津蓟检公诉刑诉〔201</w:t>
      </w:r>
      <w:r>
        <w:rPr>
          <w:rFonts w:hint="eastAsia"/>
        </w:rPr>
        <w:t>8</w:t>
      </w:r>
      <w:r>
        <w:t>〕1</w:t>
      </w:r>
      <w:r>
        <w:rPr>
          <w:rFonts w:hint="eastAsia"/>
        </w:rPr>
        <w:t>82</w:t>
      </w:r>
      <w:r>
        <w:t>号起诉书向本院提起公诉，并建议适用简易程序。本院于当日立案，依法</w:t>
      </w:r>
      <w:r>
        <w:rPr>
          <w:rFonts w:hint="eastAsia"/>
        </w:rPr>
        <w:t>适用简易程序，实行独任审判，于2018年3月9日公开开庭审理了本案</w:t>
      </w:r>
      <w:r>
        <w:t>。</w:t>
      </w:r>
      <w:r>
        <w:rPr>
          <w:rFonts w:hint="eastAsia"/>
        </w:rPr>
        <w:t>天津市</w:t>
      </w:r>
      <w:r>
        <w:t>蓟州区人民检察院指派</w:t>
      </w:r>
      <w:r>
        <w:rPr>
          <w:rFonts w:hint="eastAsia"/>
        </w:rPr>
        <w:t>代理</w:t>
      </w:r>
      <w:r>
        <w:t>检察员</w:t>
      </w:r>
      <w:r>
        <w:rPr>
          <w:rFonts w:hint="eastAsia"/>
        </w:rPr>
        <w:t>王晶晶</w:t>
      </w:r>
      <w:r>
        <w:t>出庭支持公诉，被告人王宗伟到庭参加了诉讼。现已审理终结。</w:t>
      </w:r>
    </w:p>
    <w:p>
      <w:pPr>
        <w:pStyle w:val="23"/>
        <w:spacing w:line="560" w:lineRule="exact"/>
        <w:ind w:firstLine="632"/>
        <w:rPr>
          <w:rFonts w:hint="eastAsia"/>
        </w:rPr>
      </w:pPr>
      <w:r>
        <w:rPr>
          <w:rFonts w:hint="eastAsia"/>
        </w:rPr>
        <w:t>经审理查明，2012年11月30日，被告人王宗伟提供除姓名及身份是真实的以外，住址、工作单位、工资收入证明等均为虚假的材料，在天津市北辰区向天津银行申请办理了一张信用额度为11000元后又调整至12100元、卡号为6224264029446100的信用卡。自2012年12月21日至2013年2月17日，</w:t>
      </w:r>
      <w:r>
        <w:t>王宗伟使用该信用卡多次</w:t>
      </w:r>
      <w:r>
        <w:rPr>
          <w:rFonts w:hint="eastAsia"/>
        </w:rPr>
        <w:t>透支后进行挥霍。截至2013年2月7日最后一次还款、2013年2月17日最后一次消费后，便无交易记录。王宗伟</w:t>
      </w:r>
      <w:r>
        <w:t>共透支人民币</w:t>
      </w:r>
      <w:r>
        <w:rPr>
          <w:rFonts w:hint="eastAsia"/>
        </w:rPr>
        <w:t>11996.5元不能偿还。</w:t>
      </w:r>
    </w:p>
    <w:p>
      <w:pPr>
        <w:pStyle w:val="23"/>
        <w:spacing w:line="560" w:lineRule="exact"/>
        <w:ind w:firstLine="632"/>
        <w:rPr>
          <w:rFonts w:hint="eastAsia"/>
        </w:rPr>
      </w:pPr>
      <w:r>
        <w:rPr>
          <w:rFonts w:hint="eastAsia" w:hAnsi="宋体"/>
        </w:rPr>
        <w:t>银行工作人员</w:t>
      </w:r>
      <w:r>
        <w:rPr>
          <w:rFonts w:hint="eastAsia"/>
        </w:rPr>
        <w:t>自2014年1月6日至2017年6月12日，分别采取电话、外访、信函等方式多次向王宗伟催收，但王宗伟自2013年7月份就更换了手机号码，又因提供的住址及工作单位均为虚假的，故使银行不能进行有效催收，邮寄信函因“查无此人”被退回。本案系银行工作人员报案而案发。被告人王宗伟后经公安机关电话传唤主动到案，并如实供述了自己的犯罪事实。</w:t>
      </w:r>
    </w:p>
    <w:p>
      <w:pPr>
        <w:pStyle w:val="23"/>
        <w:spacing w:line="560" w:lineRule="exact"/>
        <w:ind w:firstLine="632"/>
        <w:rPr>
          <w:rFonts w:hint="eastAsia"/>
        </w:rPr>
      </w:pPr>
      <w:r>
        <w:rPr>
          <w:rFonts w:hint="eastAsia"/>
        </w:rPr>
        <w:t>案发后，被告人王宗伟归还了全部透支本金，并取得被害单位的谅解。</w:t>
      </w:r>
    </w:p>
    <w:p>
      <w:pPr>
        <w:pStyle w:val="23"/>
        <w:spacing w:line="560" w:lineRule="exact"/>
        <w:ind w:firstLine="632"/>
        <w:rPr>
          <w:rFonts w:hint="eastAsia"/>
        </w:rPr>
      </w:pPr>
      <w:r>
        <w:rPr>
          <w:rFonts w:hint="eastAsia"/>
        </w:rPr>
        <w:t>另查，被告人系肢体三级残疾，2018年1月与妻子离婚后，其10岁的儿子与其一起生活。</w:t>
      </w:r>
    </w:p>
    <w:p>
      <w:pPr>
        <w:pStyle w:val="23"/>
        <w:spacing w:line="560" w:lineRule="exact"/>
        <w:ind w:firstLine="632"/>
      </w:pPr>
      <w:r>
        <w:rPr>
          <w:rFonts w:hint="eastAsia"/>
        </w:rPr>
        <w:t>上述事实，被告人王宗伟在审理过程中无异议，并有经查证属实的案件来源、抓获经过、常住人口信息表、情况说明、谅解书，天津银行津卡贷记卡（个人卡）申请表、王宗伟身份证复印件、工作收入证明、个人信用报告、天津银行信用卡中心贷记卡审核流程单、接受证据清单、授权委托书、营业执照、王宗伟涉嫌诈骗天津银行贷记卡资金的报案材料、历史交易明细、天津银行信用卡逾期客户催收记录、客户额度临时调整说明、关于债务人王宗伟信用卡近期历史交易明细中无息费交易的说明，照片，报案人王砚旭陈述，证人张国成证言，被告人王宗伟供述，王志伟残疾证复印件，民事调解书等证据证实，足以认定。</w:t>
      </w:r>
    </w:p>
    <w:p>
      <w:pPr>
        <w:pStyle w:val="23"/>
        <w:spacing w:line="560" w:lineRule="exact"/>
        <w:ind w:firstLine="632"/>
        <w:rPr>
          <w:rFonts w:hint="eastAsia"/>
        </w:rPr>
      </w:pPr>
      <w:r>
        <w:rPr>
          <w:rFonts w:hint="eastAsia"/>
        </w:rPr>
        <w:t>本院认为，被告人王宗伟违反信用卡管理规定，在申领信用卡时，使用虚假住址、工作单位、工资收入证明等信息，透支后</w:t>
      </w:r>
      <w:r>
        <w:rPr>
          <w:rFonts w:hint="eastAsia"/>
          <w:szCs w:val="32"/>
        </w:rPr>
        <w:t>又改变联系方式逃避银行催收，</w:t>
      </w:r>
      <w:r>
        <w:rPr>
          <w:rFonts w:hint="eastAsia"/>
        </w:rPr>
        <w:t>主观上具有非法占有的目的；客观上超过规定期限透支，使用透支款进行挥霍，属于恶意透支；且犯罪数额较大，其行为侵犯了国家有关金融票证管理制度，已构成信用卡诈骗罪，应在相应的法定刑幅度内处罚。天津市蓟州区人民检察院指控事实清楚，证据确实、充分，指控罪名成立，本院予以支持。被告人王宗伟经公安机关电话传唤主动投案，并如实供述自己的犯罪事实，属自首，依法予以从轻处罚。案发后，被告人王宗伟归还了全部透支本金，并得到了被害单位的谅解，可酌情从轻处罚。天津市蓟州区人民检察院建议判处被告人王宗伟有期徒刑一年以下刑罚，并处罚金的量刑建议适当，本院予以采纳。</w:t>
      </w:r>
    </w:p>
    <w:p>
      <w:pPr>
        <w:pStyle w:val="23"/>
        <w:spacing w:line="560" w:lineRule="exact"/>
        <w:ind w:firstLine="632"/>
      </w:pPr>
      <w:r>
        <w:rPr>
          <w:rFonts w:hint="eastAsia"/>
        </w:rPr>
        <w:t>依照《中华人民共和国刑法》第一百九十六条第一款第（四）项、第二款，第六十七条第一款，第七十二条第一、三款，第七十三条第二、三款，最高人民法院、最高人民检察院《关于办理妨害信用卡管理刑事案件具体应用法律若干问题的解释》第六条之规定，判决如下：</w:t>
      </w:r>
    </w:p>
    <w:p>
      <w:pPr>
        <w:pStyle w:val="23"/>
        <w:spacing w:line="560" w:lineRule="exact"/>
        <w:ind w:firstLine="632"/>
      </w:pPr>
      <w:r>
        <w:rPr>
          <w:rFonts w:hint="eastAsia"/>
        </w:rPr>
        <w:t>被告人王宗伟犯信用卡诈骗罪，判处有期徒刑十个月缓刑一年；并处罚金人民币二万元，限本判决生效后十日内缴纳（缓刑考验期限，从判决确定之日起计算）。</w:t>
      </w:r>
    </w:p>
    <w:p>
      <w:pPr>
        <w:pStyle w:val="24"/>
        <w:spacing w:line="560" w:lineRule="exact"/>
        <w:ind w:firstLine="632"/>
        <w:rPr>
          <w:rFonts w:hint="eastAsia"/>
        </w:rPr>
      </w:pPr>
      <w:r>
        <w:rPr>
          <w:rFonts w:hint="eastAsia"/>
        </w:rPr>
        <w:t>如不服本判决，可在接到判决书的第二日起十日内，通过本院或者直接向天津市第一中级人民法院提出上诉。书面上诉的，应当提交上诉状正本一份，副本四份。</w:t>
      </w:r>
    </w:p>
    <w:p>
      <w:pPr>
        <w:pStyle w:val="24"/>
        <w:spacing w:line="560" w:lineRule="exact"/>
        <w:ind w:firstLine="632"/>
        <w:rPr>
          <w:rFonts w:hint="eastAsia"/>
        </w:rPr>
      </w:pPr>
    </w:p>
    <w:p>
      <w:pPr>
        <w:pStyle w:val="24"/>
        <w:spacing w:line="560" w:lineRule="exact"/>
        <w:ind w:firstLine="632"/>
      </w:pPr>
    </w:p>
    <w:p>
      <w:pPr>
        <w:pStyle w:val="25"/>
        <w:spacing w:line="560" w:lineRule="exact"/>
        <w:ind w:right="56" w:rightChars="18" w:firstLine="200"/>
        <w:rPr>
          <w:rFonts w:hint="eastAsia"/>
        </w:rPr>
      </w:pPr>
    </w:p>
    <w:p>
      <w:pPr>
        <w:pStyle w:val="25"/>
        <w:spacing w:line="560" w:lineRule="exact"/>
        <w:ind w:right="56" w:rightChars="18" w:firstLine="200"/>
        <w:rPr>
          <w:rFonts w:hint="eastAsia"/>
        </w:rPr>
      </w:pPr>
    </w:p>
    <w:p>
      <w:pPr>
        <w:pStyle w:val="25"/>
        <w:spacing w:line="560" w:lineRule="exact"/>
        <w:ind w:right="56" w:rightChars="18" w:firstLine="200"/>
        <w:rPr>
          <w:rFonts w:hint="eastAsia"/>
        </w:rPr>
      </w:pPr>
      <w:r>
        <w:rPr>
          <w:rFonts w:hint="eastAsia"/>
        </w:rPr>
        <w:t>审　判　员　　　李  静</w:t>
      </w:r>
    </w:p>
    <w:p>
      <w:pPr>
        <w:pStyle w:val="25"/>
        <w:spacing w:line="560" w:lineRule="exact"/>
        <w:ind w:right="56" w:rightChars="18" w:firstLine="200"/>
        <w:rPr>
          <w:rFonts w:hint="eastAsia"/>
        </w:rPr>
      </w:pPr>
    </w:p>
    <w:p>
      <w:pPr>
        <w:pStyle w:val="25"/>
        <w:spacing w:line="560" w:lineRule="exact"/>
        <w:ind w:right="56" w:rightChars="18" w:firstLine="200"/>
        <w:jc w:val="both"/>
      </w:pPr>
    </w:p>
    <w:p>
      <w:pPr>
        <w:pStyle w:val="27"/>
        <w:spacing w:line="560" w:lineRule="exact"/>
        <w:ind w:right="56" w:rightChars="18" w:firstLine="200"/>
        <w:rPr>
          <w:rFonts w:hint="eastAsia"/>
          <w:spacing w:val="28"/>
        </w:rPr>
      </w:pPr>
    </w:p>
    <w:p>
      <w:pPr>
        <w:pStyle w:val="27"/>
        <w:spacing w:line="560" w:lineRule="exact"/>
        <w:ind w:right="56" w:rightChars="18" w:firstLine="200"/>
        <w:rPr>
          <w:rFonts w:hint="eastAsia" w:hAnsi="仿宋_GB2312" w:cs="仿宋_GB2312"/>
          <w:spacing w:val="28"/>
        </w:rPr>
      </w:pPr>
      <w:r>
        <w:rPr>
          <w:rFonts w:hint="eastAsia"/>
          <w:spacing w:val="28"/>
        </w:rPr>
        <w:t>二</w:t>
      </w:r>
      <w:r>
        <w:rPr>
          <w:rFonts w:hint="eastAsia" w:ascii="宋体" w:hAnsi="宋体" w:eastAsia="宋体" w:cs="宋体"/>
          <w:spacing w:val="28"/>
        </w:rPr>
        <w:t>〇</w:t>
      </w:r>
      <w:r>
        <w:rPr>
          <w:rFonts w:hint="eastAsia" w:hAnsi="仿宋_GB2312" w:cs="仿宋_GB2312"/>
          <w:spacing w:val="28"/>
        </w:rPr>
        <w:t>一八年三月九日</w:t>
      </w:r>
    </w:p>
    <w:p>
      <w:pPr>
        <w:pStyle w:val="27"/>
        <w:spacing w:line="560" w:lineRule="exact"/>
        <w:ind w:right="56" w:rightChars="18" w:firstLine="200"/>
        <w:rPr>
          <w:rFonts w:hint="eastAsia" w:hAnsi="仿宋_GB2312" w:cs="仿宋_GB2312"/>
          <w:spacing w:val="28"/>
        </w:rPr>
      </w:pPr>
    </w:p>
    <w:p>
      <w:pPr>
        <w:pStyle w:val="25"/>
        <w:spacing w:line="560" w:lineRule="exact"/>
        <w:ind w:right="56" w:rightChars="18" w:firstLine="200"/>
      </w:pPr>
      <w:r>
        <w:rPr>
          <w:rFonts w:hint="eastAsia"/>
          <w:spacing w:val="-12"/>
        </w:rPr>
        <w:t>法 官 助 理</w:t>
      </w:r>
      <w:r>
        <w:rPr>
          <w:rFonts w:hint="eastAsia"/>
        </w:rPr>
        <w:t>　　　王  宁</w:t>
      </w:r>
    </w:p>
    <w:p>
      <w:pPr>
        <w:pStyle w:val="28"/>
        <w:spacing w:line="560" w:lineRule="exact"/>
        <w:ind w:right="56" w:rightChars="18" w:firstLine="200"/>
        <w:rPr>
          <w:rFonts w:hint="eastAsia"/>
        </w:rPr>
      </w:pPr>
      <w:r>
        <w:rPr>
          <w:rFonts w:hint="eastAsia"/>
        </w:rPr>
        <w:t>书　记　员　　　李朝东</w:t>
      </w:r>
    </w:p>
    <w:p>
      <w:pPr>
        <w:pStyle w:val="29"/>
        <w:spacing w:line="560" w:lineRule="exact"/>
        <w:ind w:firstLine="634"/>
        <w:rPr>
          <w:rFonts w:hint="eastAsia"/>
          <w:b/>
        </w:rPr>
      </w:pPr>
    </w:p>
    <w:p>
      <w:pPr>
        <w:pStyle w:val="29"/>
        <w:spacing w:line="560" w:lineRule="exact"/>
        <w:ind w:firstLine="634"/>
        <w:rPr>
          <w:rFonts w:hint="eastAsia"/>
          <w:b/>
        </w:rPr>
      </w:pPr>
    </w:p>
    <w:p>
      <w:pPr>
        <w:pStyle w:val="29"/>
        <w:spacing w:line="560" w:lineRule="exact"/>
        <w:ind w:firstLine="634"/>
        <w:rPr>
          <w:rFonts w:hint="eastAsia"/>
          <w:b/>
        </w:rPr>
      </w:pPr>
    </w:p>
    <w:p>
      <w:pPr>
        <w:pStyle w:val="29"/>
        <w:spacing w:line="560" w:lineRule="exact"/>
        <w:ind w:firstLine="634"/>
        <w:rPr>
          <w:rFonts w:hint="eastAsia"/>
          <w:b/>
        </w:rPr>
      </w:pPr>
    </w:p>
    <w:p>
      <w:pPr>
        <w:pStyle w:val="29"/>
        <w:spacing w:line="560" w:lineRule="exact"/>
        <w:ind w:firstLine="634"/>
        <w:rPr>
          <w:b/>
        </w:rPr>
      </w:pPr>
      <w:r>
        <w:rPr>
          <w:rFonts w:hint="eastAsia"/>
          <w:b/>
        </w:rPr>
        <w:t>附：本裁判文书所依据法律规定的具体条文：</w:t>
      </w:r>
    </w:p>
    <w:p>
      <w:pPr>
        <w:pStyle w:val="30"/>
        <w:spacing w:line="560" w:lineRule="exact"/>
        <w:ind w:firstLine="634"/>
        <w:rPr>
          <w:b/>
        </w:rPr>
      </w:pPr>
      <w:r>
        <w:rPr>
          <w:rFonts w:hint="eastAsia"/>
          <w:b/>
        </w:rPr>
        <w:t>《中华人民共和国刑法》</w:t>
      </w:r>
    </w:p>
    <w:p>
      <w:pPr>
        <w:pStyle w:val="31"/>
        <w:spacing w:line="560" w:lineRule="exact"/>
        <w:ind w:firstLine="634"/>
      </w:pPr>
      <w:r>
        <w:rPr>
          <w:rFonts w:hint="eastAsia"/>
          <w:b/>
        </w:rPr>
        <w:t>第一百九十六条第一款</w:t>
      </w:r>
      <w:r>
        <w:rPr>
          <w:b/>
        </w:rPr>
        <w:t xml:space="preserve"> </w:t>
      </w:r>
      <w:r>
        <w:rPr>
          <w:rFonts w:hint="eastAsia"/>
        </w:rPr>
        <w:t xml:space="preserve">  </w:t>
      </w:r>
      <w: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31"/>
        <w:spacing w:line="560" w:lineRule="exact"/>
        <w:ind w:firstLine="632"/>
      </w:pPr>
      <w:r>
        <w:t>(一)使用伪造的信用卡，或者使用以虚假的身份证明骗领的信用卡的;</w:t>
      </w:r>
    </w:p>
    <w:p>
      <w:pPr>
        <w:pStyle w:val="31"/>
        <w:spacing w:line="560" w:lineRule="exact"/>
        <w:ind w:firstLine="632"/>
      </w:pPr>
      <w:r>
        <w:t>(二)使用作废的信用卡的;</w:t>
      </w:r>
    </w:p>
    <w:p>
      <w:pPr>
        <w:pStyle w:val="31"/>
        <w:spacing w:line="560" w:lineRule="exact"/>
        <w:ind w:firstLine="632"/>
      </w:pPr>
      <w:r>
        <w:t>(三)冒用他人信用卡的;</w:t>
      </w:r>
    </w:p>
    <w:p>
      <w:pPr>
        <w:pStyle w:val="31"/>
        <w:spacing w:line="560" w:lineRule="exact"/>
        <w:ind w:firstLine="634"/>
      </w:pPr>
      <w:r>
        <w:rPr>
          <w:b/>
        </w:rPr>
        <w:t>(四)</w:t>
      </w:r>
      <w:r>
        <w:t>恶意透支的。</w:t>
      </w:r>
    </w:p>
    <w:p>
      <w:pPr>
        <w:pStyle w:val="31"/>
        <w:spacing w:line="560" w:lineRule="exact"/>
        <w:ind w:firstLine="634"/>
      </w:pPr>
      <w:r>
        <w:rPr>
          <w:rFonts w:hint="eastAsia"/>
          <w:b/>
        </w:rPr>
        <w:t>第二款</w:t>
      </w:r>
      <w:r>
        <w:rPr>
          <w:rFonts w:hint="eastAsia"/>
        </w:rPr>
        <w:t xml:space="preserve">   前款所称恶意透支，是指持卡人以非法占有为目的，超过规定限额或者规定期限透支，并且经发卡银行催收后仍不归还的行为。</w:t>
      </w:r>
    </w:p>
    <w:p>
      <w:pPr>
        <w:pStyle w:val="31"/>
        <w:spacing w:line="560" w:lineRule="exact"/>
        <w:ind w:firstLine="634"/>
      </w:pPr>
      <w:r>
        <w:rPr>
          <w:rFonts w:hint="eastAsia"/>
          <w:b/>
        </w:rPr>
        <w:t xml:space="preserve">第六十七条第一款 </w:t>
      </w:r>
      <w:r>
        <w:rPr>
          <w:rFonts w:hint="eastAsia"/>
        </w:rPr>
        <w:t xml:space="preserve">  犯罪以后自动投案，如实供述自己的罪行的，是自首。对于自首的犯罪分子，可以从轻或者减轻处罚。其中，犯罪较轻的，可以免除处罚。</w:t>
      </w:r>
    </w:p>
    <w:p>
      <w:pPr>
        <w:pStyle w:val="31"/>
        <w:spacing w:line="560" w:lineRule="exact"/>
        <w:ind w:firstLine="634"/>
      </w:pPr>
      <w:r>
        <w:rPr>
          <w:rFonts w:hint="eastAsia"/>
          <w:b/>
        </w:rPr>
        <w:t>第七十二条第一款</w:t>
      </w:r>
      <w:r>
        <w:rPr>
          <w:rFonts w:hint="eastAsia"/>
        </w:rPr>
        <w:t xml:space="preserve">   对于被判处拘役、三年以下有期徒刑的犯罪分子，同时符合下列条件的，可以宣告缓刑，对其中不满十八周岁的人、怀孕的妇女和已满七十五周岁的人，应当宣告缓刑：</w:t>
      </w:r>
    </w:p>
    <w:p>
      <w:pPr>
        <w:pStyle w:val="31"/>
        <w:spacing w:line="560" w:lineRule="exact"/>
        <w:ind w:firstLine="632"/>
      </w:pPr>
      <w:r>
        <w:rPr>
          <w:rFonts w:hint="eastAsia"/>
        </w:rPr>
        <w:t>（一）犯罪情节较轻；</w:t>
      </w:r>
    </w:p>
    <w:p>
      <w:pPr>
        <w:pStyle w:val="31"/>
        <w:spacing w:line="560" w:lineRule="exact"/>
        <w:ind w:firstLine="632"/>
      </w:pPr>
      <w:r>
        <w:rPr>
          <w:rFonts w:hint="eastAsia"/>
        </w:rPr>
        <w:t>（二）有悔罪表现；</w:t>
      </w:r>
    </w:p>
    <w:p>
      <w:pPr>
        <w:pStyle w:val="31"/>
        <w:spacing w:line="560" w:lineRule="exact"/>
        <w:ind w:firstLine="632"/>
      </w:pPr>
      <w:r>
        <w:rPr>
          <w:rFonts w:hint="eastAsia"/>
        </w:rPr>
        <w:t>（三）没有再犯罪的危险；</w:t>
      </w:r>
    </w:p>
    <w:p>
      <w:pPr>
        <w:pStyle w:val="31"/>
        <w:spacing w:line="560" w:lineRule="exact"/>
        <w:ind w:firstLine="632"/>
      </w:pPr>
      <w:r>
        <w:rPr>
          <w:rFonts w:hint="eastAsia"/>
        </w:rPr>
        <w:t>（四）宣告缓刑对所居住社区没有重大不良影响。</w:t>
      </w:r>
    </w:p>
    <w:p>
      <w:pPr>
        <w:pStyle w:val="31"/>
        <w:spacing w:line="560" w:lineRule="exact"/>
        <w:ind w:firstLine="634"/>
      </w:pPr>
      <w:r>
        <w:rPr>
          <w:rFonts w:hint="eastAsia"/>
          <w:b/>
        </w:rPr>
        <w:t xml:space="preserve">第三款  </w:t>
      </w:r>
      <w:r>
        <w:rPr>
          <w:rFonts w:hint="eastAsia"/>
        </w:rPr>
        <w:t xml:space="preserve"> 被宣告缓刑的犯罪分子，如果被判处附加刑，附加刑仍须执行。</w:t>
      </w:r>
    </w:p>
    <w:p>
      <w:pPr>
        <w:pStyle w:val="31"/>
        <w:spacing w:line="560" w:lineRule="exact"/>
        <w:ind w:firstLine="634"/>
      </w:pPr>
      <w:r>
        <w:rPr>
          <w:rFonts w:hint="eastAsia"/>
          <w:b/>
        </w:rPr>
        <w:t xml:space="preserve">第七十三条第二款  </w:t>
      </w:r>
      <w:r>
        <w:rPr>
          <w:rFonts w:hint="eastAsia"/>
        </w:rPr>
        <w:t xml:space="preserve"> 有期徒刑的缓刑考验期限为原判刑期以上五年以下，但是不能少于一年。</w:t>
      </w:r>
    </w:p>
    <w:p>
      <w:pPr>
        <w:pStyle w:val="31"/>
        <w:spacing w:line="560" w:lineRule="exact"/>
        <w:ind w:firstLine="634"/>
      </w:pPr>
      <w:r>
        <w:rPr>
          <w:rFonts w:hint="eastAsia"/>
          <w:b/>
        </w:rPr>
        <w:t>第三款</w:t>
      </w:r>
      <w:r>
        <w:rPr>
          <w:rFonts w:hint="eastAsia"/>
        </w:rPr>
        <w:t xml:space="preserve">   缓刑考验期限，从判决确定之日起计算。</w:t>
      </w:r>
    </w:p>
    <w:p>
      <w:pPr>
        <w:pStyle w:val="31"/>
        <w:spacing w:line="560" w:lineRule="exact"/>
        <w:ind w:firstLine="634"/>
      </w:pPr>
      <w:r>
        <w:rPr>
          <w:rFonts w:hint="eastAsia"/>
          <w:b/>
        </w:rPr>
        <w:t>最高人民法院、最高人民检察院《关于办理妨害信用卡管理刑事案件具体应用法律若干问题的解释》第六条</w:t>
      </w:r>
      <w:r>
        <w:rPr>
          <w:rFonts w:hint="eastAsia"/>
        </w:rPr>
        <w:t xml:space="preserve">   持卡人以非法占有为目的，超过规定限额或者规定期限透支，并且经发卡银行两次催收后超过3个月仍不归还的，应当认定为刑法第一百九十六条规定的“恶意透支”。</w:t>
      </w:r>
    </w:p>
    <w:p>
      <w:pPr>
        <w:pStyle w:val="31"/>
        <w:spacing w:line="560" w:lineRule="exact"/>
        <w:ind w:firstLine="632"/>
      </w:pPr>
      <w:r>
        <w:rPr>
          <w:rFonts w:hint="eastAsia"/>
        </w:rPr>
        <w:t>有以下情形之一的，应当认定为刑法第一百九十六条第二款规定的“以非法占有为目的”：</w:t>
      </w:r>
    </w:p>
    <w:p>
      <w:pPr>
        <w:pStyle w:val="31"/>
        <w:spacing w:line="560" w:lineRule="exact"/>
        <w:ind w:firstLine="632"/>
      </w:pPr>
      <w:r>
        <w:rPr>
          <w:rFonts w:hint="eastAsia"/>
        </w:rPr>
        <w:t>（一）明知没有还款能力而大量透支，无法归还的；</w:t>
      </w:r>
    </w:p>
    <w:p>
      <w:pPr>
        <w:pStyle w:val="31"/>
        <w:spacing w:line="560" w:lineRule="exact"/>
        <w:ind w:firstLine="632"/>
      </w:pPr>
      <w:r>
        <w:rPr>
          <w:rFonts w:hint="eastAsia"/>
        </w:rPr>
        <w:t>（二）肆意挥霍透支的资金，无法归还的；</w:t>
      </w:r>
    </w:p>
    <w:p>
      <w:pPr>
        <w:pStyle w:val="31"/>
        <w:spacing w:line="560" w:lineRule="exact"/>
        <w:ind w:firstLine="632"/>
      </w:pPr>
      <w:r>
        <w:rPr>
          <w:rFonts w:hint="eastAsia"/>
        </w:rPr>
        <w:t>（三）透支后逃匿、改变联系方式，逃避银行催收的；</w:t>
      </w:r>
    </w:p>
    <w:p>
      <w:pPr>
        <w:pStyle w:val="31"/>
        <w:spacing w:line="560" w:lineRule="exact"/>
        <w:ind w:firstLine="632"/>
      </w:pPr>
      <w:r>
        <w:rPr>
          <w:rFonts w:hint="eastAsia"/>
        </w:rPr>
        <w:t>（四）抽逃、转移资金，隐匿财产，逃避还款的；</w:t>
      </w:r>
    </w:p>
    <w:p>
      <w:pPr>
        <w:pStyle w:val="31"/>
        <w:spacing w:line="560" w:lineRule="exact"/>
        <w:ind w:firstLine="632"/>
      </w:pPr>
      <w:r>
        <w:rPr>
          <w:rFonts w:hint="eastAsia"/>
        </w:rPr>
        <w:t>（五）使用透支的资金进行违法犯罪活动的；</w:t>
      </w:r>
    </w:p>
    <w:p>
      <w:pPr>
        <w:pStyle w:val="31"/>
        <w:spacing w:line="560" w:lineRule="exact"/>
        <w:ind w:firstLine="632"/>
      </w:pPr>
      <w:r>
        <w:rPr>
          <w:rFonts w:hint="eastAsia"/>
        </w:rPr>
        <w:t>（六）其他非法占有资金，拒不归还的行为。</w:t>
      </w:r>
    </w:p>
    <w:p>
      <w:pPr>
        <w:pStyle w:val="31"/>
        <w:spacing w:line="560" w:lineRule="exact"/>
        <w:ind w:firstLine="632"/>
      </w:pPr>
      <w:r>
        <w:rPr>
          <w:rFonts w:hint="eastAsia"/>
        </w:rPr>
        <w:t>恶意透支，数额在</w:t>
      </w:r>
      <w:r>
        <w:t>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pStyle w:val="32"/>
        <w:spacing w:line="560" w:lineRule="exact"/>
        <w:ind w:firstLine="632"/>
        <w:rPr>
          <w:rFonts w:hint="eastAsia"/>
        </w:rPr>
      </w:pPr>
      <w:r>
        <w:rPr>
          <w:rFonts w:hint="eastAsia"/>
        </w:rPr>
        <w:t>恶意透支的数额，是指在第一款规定的条件下持卡人拒不归还的数额或者尚未归还的数额。不包括复利、滞纳金、手续费等发卡银行收取的费用。</w:t>
      </w:r>
    </w:p>
    <w:p>
      <w:pPr>
        <w:adjustRightInd w:val="0"/>
        <w:snapToGrid w:val="0"/>
        <w:spacing w:line="560" w:lineRule="exact"/>
        <w:ind w:firstLine="632" w:firstLineChars="200"/>
        <w:rPr>
          <w:rFonts w:hint="eastAsia" w:ascii="仿宋_GB2312"/>
          <w:b/>
          <w:szCs w:val="32"/>
        </w:rPr>
      </w:pPr>
      <w:r>
        <w:rPr>
          <w:rFonts w:hint="eastAsia" w:ascii="仿宋_GB2312"/>
          <w:szCs w:val="32"/>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p>
      <w:pPr>
        <w:pStyle w:val="32"/>
        <w:spacing w:line="560" w:lineRule="exact"/>
        <w:ind w:firstLine="632"/>
      </w:pPr>
    </w:p>
    <w:p>
      <w:pPr>
        <w:spacing w:line="560" w:lineRule="exact"/>
        <w:ind w:firstLine="200"/>
      </w:pPr>
    </w:p>
    <w:sectPr>
      <w:footerReference r:id="rId3" w:type="default"/>
      <w:footerReference r:id="rId4" w:type="even"/>
      <w:pgSz w:w="11907" w:h="16840"/>
      <w:pgMar w:top="2040" w:right="1530" w:bottom="2040" w:left="1530" w:header="794" w:footer="1644" w:gutter="0"/>
      <w:pgNumType w:fmt="numberInDash" w:start="1"/>
      <w:cols w:space="425" w:num="1"/>
      <w:titlePg/>
      <w:docGrid w:type="linesAndChars" w:linePitch="580" w:charSpace="-8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方正小标宋_GBK">
    <w:altName w:val="Arial Unicode MS"/>
    <w:panose1 w:val="03000509000000000000"/>
    <w:charset w:val="86"/>
    <w:family w:val="script"/>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4"/>
        <w:rFonts w:ascii="宋体" w:hAnsi="宋体" w:eastAsia="宋体"/>
        <w:sz w:val="28"/>
      </w:rPr>
    </w:pPr>
    <w:r>
      <w:rPr>
        <w:rStyle w:val="14"/>
        <w:rFonts w:ascii="宋体" w:hAnsi="宋体" w:eastAsia="宋体"/>
        <w:sz w:val="28"/>
      </w:rPr>
      <w:fldChar w:fldCharType="begin"/>
    </w:r>
    <w:r>
      <w:rPr>
        <w:rStyle w:val="14"/>
        <w:rFonts w:ascii="宋体" w:hAnsi="宋体" w:eastAsia="宋体"/>
        <w:sz w:val="28"/>
      </w:rPr>
      <w:instrText xml:space="preserve">PAGE  </w:instrText>
    </w:r>
    <w:r>
      <w:rPr>
        <w:rStyle w:val="14"/>
        <w:rFonts w:ascii="宋体" w:hAnsi="宋体" w:eastAsia="宋体"/>
        <w:sz w:val="28"/>
      </w:rPr>
      <w:fldChar w:fldCharType="separate"/>
    </w:r>
    <w:r>
      <w:rPr>
        <w:rStyle w:val="14"/>
        <w:rFonts w:ascii="宋体" w:hAnsi="宋体" w:eastAsia="宋体"/>
        <w:sz w:val="28"/>
      </w:rPr>
      <w:t>- 7 -</w:t>
    </w:r>
    <w:r>
      <w:rPr>
        <w:rStyle w:val="14"/>
        <w:rFonts w:ascii="宋体" w:hAnsi="宋体" w:eastAsia="宋体"/>
        <w:sz w:val="28"/>
      </w:rPr>
      <w:fldChar w:fldCharType="end"/>
    </w:r>
  </w:p>
  <w:p>
    <w:pPr>
      <w:ind w:right="360" w:firstLine="360"/>
      <w:jc w:val="left"/>
      <w:rPr>
        <w:rFonts w:ascii="宋体" w:hAnsi="宋体" w:eastAsia="宋体"/>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4"/>
        <w:rFonts w:ascii="宋体" w:hAnsi="宋体" w:eastAsia="宋体"/>
        <w:sz w:val="28"/>
      </w:rPr>
    </w:pPr>
    <w:r>
      <w:rPr>
        <w:rStyle w:val="14"/>
        <w:rFonts w:ascii="宋体" w:hAnsi="宋体" w:eastAsia="宋体"/>
        <w:sz w:val="28"/>
      </w:rPr>
      <w:fldChar w:fldCharType="begin"/>
    </w:r>
    <w:r>
      <w:rPr>
        <w:rStyle w:val="14"/>
        <w:rFonts w:ascii="宋体" w:hAnsi="宋体" w:eastAsia="宋体"/>
        <w:sz w:val="28"/>
      </w:rPr>
      <w:instrText xml:space="preserve">PAGE  </w:instrText>
    </w:r>
    <w:r>
      <w:rPr>
        <w:rStyle w:val="14"/>
        <w:rFonts w:ascii="宋体" w:hAnsi="宋体" w:eastAsia="宋体"/>
        <w:sz w:val="28"/>
      </w:rPr>
      <w:fldChar w:fldCharType="separate"/>
    </w:r>
    <w:r>
      <w:rPr>
        <w:rStyle w:val="14"/>
        <w:rFonts w:ascii="宋体" w:hAnsi="宋体" w:eastAsia="宋体"/>
        <w:sz w:val="28"/>
      </w:rPr>
      <w:t>- 6 -</w:t>
    </w:r>
    <w:r>
      <w:rPr>
        <w:rStyle w:val="14"/>
        <w:rFonts w:ascii="宋体" w:hAnsi="宋体" w:eastAsia="宋体"/>
        <w:sz w:val="28"/>
      </w:rPr>
      <w:fldChar w:fldCharType="end"/>
    </w:r>
  </w:p>
  <w:p>
    <w:pPr>
      <w:ind w:right="360" w:firstLine="360"/>
      <w:jc w:val="left"/>
      <w:rPr>
        <w:rFonts w:ascii="宋体" w:hAnsi="宋体" w:eastAsia="宋体"/>
        <w:sz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44D86"/>
    <w:rsid w:val="0004243D"/>
    <w:rsid w:val="00061457"/>
    <w:rsid w:val="000866D7"/>
    <w:rsid w:val="00154F05"/>
    <w:rsid w:val="001639FB"/>
    <w:rsid w:val="001B1E51"/>
    <w:rsid w:val="002266AC"/>
    <w:rsid w:val="00261E10"/>
    <w:rsid w:val="002B183F"/>
    <w:rsid w:val="002E4A88"/>
    <w:rsid w:val="003039AF"/>
    <w:rsid w:val="00332603"/>
    <w:rsid w:val="00374FAE"/>
    <w:rsid w:val="00385DA5"/>
    <w:rsid w:val="003B025C"/>
    <w:rsid w:val="003C2D9A"/>
    <w:rsid w:val="003E0EEE"/>
    <w:rsid w:val="0040443D"/>
    <w:rsid w:val="004C2583"/>
    <w:rsid w:val="004C2BDF"/>
    <w:rsid w:val="005065B9"/>
    <w:rsid w:val="00544D86"/>
    <w:rsid w:val="005E6406"/>
    <w:rsid w:val="005F495D"/>
    <w:rsid w:val="006150FA"/>
    <w:rsid w:val="00666694"/>
    <w:rsid w:val="006C6BAB"/>
    <w:rsid w:val="006D38C1"/>
    <w:rsid w:val="006E7A23"/>
    <w:rsid w:val="006F4A58"/>
    <w:rsid w:val="00746105"/>
    <w:rsid w:val="007540BB"/>
    <w:rsid w:val="00755D3F"/>
    <w:rsid w:val="007A3645"/>
    <w:rsid w:val="007A57E1"/>
    <w:rsid w:val="007D47CD"/>
    <w:rsid w:val="007E38C8"/>
    <w:rsid w:val="008600F7"/>
    <w:rsid w:val="00860DF8"/>
    <w:rsid w:val="008B5E0D"/>
    <w:rsid w:val="0091138E"/>
    <w:rsid w:val="00972154"/>
    <w:rsid w:val="00985B1F"/>
    <w:rsid w:val="009D088F"/>
    <w:rsid w:val="009D476B"/>
    <w:rsid w:val="009D56B1"/>
    <w:rsid w:val="009E1E79"/>
    <w:rsid w:val="009E1EB6"/>
    <w:rsid w:val="009E27DD"/>
    <w:rsid w:val="00A12E7E"/>
    <w:rsid w:val="00A52E34"/>
    <w:rsid w:val="00A74B40"/>
    <w:rsid w:val="00AA4952"/>
    <w:rsid w:val="00AB6694"/>
    <w:rsid w:val="00B03DA8"/>
    <w:rsid w:val="00B07DB3"/>
    <w:rsid w:val="00B43144"/>
    <w:rsid w:val="00B743C9"/>
    <w:rsid w:val="00BB6FC8"/>
    <w:rsid w:val="00BC2B1C"/>
    <w:rsid w:val="00C2677C"/>
    <w:rsid w:val="00C334FB"/>
    <w:rsid w:val="00C50F17"/>
    <w:rsid w:val="00C51897"/>
    <w:rsid w:val="00CA24F3"/>
    <w:rsid w:val="00CB65CB"/>
    <w:rsid w:val="00D04120"/>
    <w:rsid w:val="00D06FC4"/>
    <w:rsid w:val="00D11E5B"/>
    <w:rsid w:val="00D15566"/>
    <w:rsid w:val="00D36CB3"/>
    <w:rsid w:val="00DA798B"/>
    <w:rsid w:val="00DD0032"/>
    <w:rsid w:val="00DD2E82"/>
    <w:rsid w:val="00E00B1A"/>
    <w:rsid w:val="00E02549"/>
    <w:rsid w:val="00E0323B"/>
    <w:rsid w:val="00E12B99"/>
    <w:rsid w:val="00E24498"/>
    <w:rsid w:val="00E343B2"/>
    <w:rsid w:val="00E548CF"/>
    <w:rsid w:val="00E72364"/>
    <w:rsid w:val="00E761F6"/>
    <w:rsid w:val="00EB0B60"/>
    <w:rsid w:val="00EB449C"/>
    <w:rsid w:val="00F238BD"/>
    <w:rsid w:val="00F43BC5"/>
    <w:rsid w:val="00F73F1F"/>
    <w:rsid w:val="00F76BC4"/>
    <w:rsid w:val="00FC196A"/>
    <w:rsid w:val="3F151244"/>
    <w:rsid w:val="555E01BB"/>
    <w:rsid w:val="57CA6586"/>
    <w:rsid w:val="6690034C"/>
    <w:rsid w:val="7B3F42F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3">
    <w:name w:val="Default Paragraph Font"/>
    <w:semiHidden/>
    <w:uiPriority w:val="0"/>
  </w:style>
  <w:style w:type="table" w:default="1" w:styleId="16">
    <w:name w:val="Normal Table"/>
    <w:semiHidden/>
    <w:qFormat/>
    <w:uiPriority w:val="0"/>
    <w:tblPr>
      <w:tblLayout w:type="fixed"/>
      <w:tblCellMar>
        <w:top w:w="0" w:type="dxa"/>
        <w:left w:w="108" w:type="dxa"/>
        <w:bottom w:w="0" w:type="dxa"/>
        <w:right w:w="108" w:type="dxa"/>
      </w:tblCellMar>
    </w:tblPr>
    <w:tcPr>
      <w:textDirection w:val="btLr"/>
    </w:tcPr>
  </w:style>
  <w:style w:type="paragraph" w:styleId="2">
    <w:name w:val="Body Text First Indent"/>
    <w:basedOn w:val="3"/>
    <w:link w:val="34"/>
    <w:uiPriority w:val="0"/>
    <w:pPr>
      <w:ind w:firstLine="420"/>
    </w:pPr>
    <w:rPr>
      <w:sz w:val="32"/>
      <w:szCs w:val="20"/>
    </w:rPr>
  </w:style>
  <w:style w:type="paragraph" w:styleId="3">
    <w:name w:val="Body Text"/>
    <w:basedOn w:val="1"/>
    <w:uiPriority w:val="0"/>
    <w:pPr>
      <w:spacing w:after="120"/>
    </w:pPr>
  </w:style>
  <w:style w:type="paragraph" w:styleId="4">
    <w:name w:val="Normal Indent"/>
    <w:basedOn w:val="1"/>
    <w:uiPriority w:val="0"/>
    <w:pPr>
      <w:widowControl/>
      <w:ind w:firstLine="420" w:firstLineChars="200"/>
      <w:jc w:val="left"/>
    </w:pPr>
    <w:rPr>
      <w:kern w:val="0"/>
      <w:sz w:val="20"/>
      <w:szCs w:val="20"/>
    </w:rPr>
  </w:style>
  <w:style w:type="paragraph" w:styleId="5">
    <w:name w:val="Body Text Indent"/>
    <w:basedOn w:val="1"/>
    <w:link w:val="35"/>
    <w:qFormat/>
    <w:uiPriority w:val="0"/>
    <w:pPr>
      <w:snapToGrid w:val="0"/>
      <w:spacing w:line="360" w:lineRule="auto"/>
      <w:ind w:firstLine="674" w:firstLineChars="200"/>
    </w:pPr>
    <w:rPr>
      <w:rFonts w:hint="eastAsia" w:ascii="宋体" w:hAnsi="宋体"/>
      <w:sz w:val="32"/>
    </w:rPr>
  </w:style>
  <w:style w:type="paragraph" w:styleId="6">
    <w:name w:val="Plain Text"/>
    <w:basedOn w:val="1"/>
    <w:qFormat/>
    <w:uiPriority w:val="0"/>
    <w:rPr>
      <w:rFonts w:ascii="宋体" w:hAnsi="Courier New" w:cs="Courier New"/>
      <w:szCs w:val="21"/>
    </w:rPr>
  </w:style>
  <w:style w:type="paragraph" w:styleId="7">
    <w:name w:val="Date"/>
    <w:basedOn w:val="1"/>
    <w:next w:val="1"/>
    <w:qFormat/>
    <w:uiPriority w:val="0"/>
    <w:pPr>
      <w:ind w:left="100" w:leftChars="2500"/>
    </w:pPr>
  </w:style>
  <w:style w:type="paragraph" w:styleId="8">
    <w:name w:val="Body Text Indent 2"/>
    <w:basedOn w:val="1"/>
    <w:qFormat/>
    <w:uiPriority w:val="0"/>
    <w:pPr>
      <w:snapToGrid w:val="0"/>
      <w:spacing w:line="360" w:lineRule="auto"/>
      <w:ind w:firstLine="640" w:firstLineChars="200"/>
    </w:pPr>
    <w:rPr>
      <w:rFonts w:ascii="宋体" w:hAnsi="宋体"/>
      <w:sz w:val="32"/>
    </w:rPr>
  </w:style>
  <w:style w:type="paragraph" w:styleId="9">
    <w:name w:val="Balloon Text"/>
    <w:basedOn w:val="1"/>
    <w:semiHidden/>
    <w:qFormat/>
    <w:uiPriority w:val="0"/>
    <w:rPr>
      <w:sz w:val="18"/>
      <w:szCs w:val="18"/>
    </w:rPr>
  </w:style>
  <w:style w:type="paragraph" w:styleId="10">
    <w:name w:val="footer"/>
    <w:basedOn w:val="1"/>
    <w:link w:val="33"/>
    <w:qFormat/>
    <w:uiPriority w:val="99"/>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qFormat/>
    <w:uiPriority w:val="0"/>
    <w:pPr>
      <w:snapToGrid w:val="0"/>
      <w:spacing w:line="0" w:lineRule="atLeast"/>
      <w:ind w:firstLine="600" w:firstLineChars="200"/>
      <w:jc w:val="center"/>
    </w:pPr>
    <w:rPr>
      <w:rFonts w:ascii="仿宋_GB2312" w:hAnsi="宋体" w:eastAsia="仿宋_GB2312"/>
      <w:sz w:val="32"/>
    </w:rPr>
  </w:style>
  <w:style w:type="character" w:styleId="14">
    <w:name w:val="page number"/>
    <w:basedOn w:val="13"/>
    <w:qFormat/>
    <w:uiPriority w:val="0"/>
  </w:style>
  <w:style w:type="character" w:styleId="15">
    <w:name w:val="Hyperlink"/>
    <w:basedOn w:val="13"/>
    <w:qFormat/>
    <w:uiPriority w:val="0"/>
    <w:rPr>
      <w:color w:val="0000FF"/>
      <w:u w:val="single"/>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paragraph" w:customStyle="1" w:styleId="19">
    <w:name w:val="lawyeeCourtName1"/>
    <w:basedOn w:val="1"/>
    <w:link w:val="37"/>
    <w:qFormat/>
    <w:uiPriority w:val="0"/>
    <w:pPr>
      <w:spacing w:line="720" w:lineRule="exact"/>
      <w:jc w:val="center"/>
    </w:pPr>
    <w:rPr>
      <w:rFonts w:ascii="方正小标宋_GBK" w:eastAsia="方正小标宋_GBK"/>
      <w:sz w:val="44"/>
    </w:rPr>
  </w:style>
  <w:style w:type="paragraph" w:customStyle="1" w:styleId="20">
    <w:name w:val="lawyeeWritName1"/>
    <w:basedOn w:val="1"/>
    <w:link w:val="38"/>
    <w:qFormat/>
    <w:uiPriority w:val="0"/>
    <w:pPr>
      <w:spacing w:line="720" w:lineRule="exact"/>
      <w:jc w:val="center"/>
    </w:pPr>
    <w:rPr>
      <w:rFonts w:ascii="方正小标宋_GBK" w:eastAsia="方正小标宋_GBK"/>
      <w:sz w:val="44"/>
    </w:rPr>
  </w:style>
  <w:style w:type="paragraph" w:customStyle="1" w:styleId="21">
    <w:name w:val="lawyeeCaseNum1"/>
    <w:basedOn w:val="1"/>
    <w:link w:val="39"/>
    <w:qFormat/>
    <w:uiPriority w:val="0"/>
    <w:pPr>
      <w:ind w:rightChars="200"/>
      <w:jc w:val="right"/>
    </w:pPr>
    <w:rPr>
      <w:rFonts w:ascii="仿宋_GB2312"/>
    </w:rPr>
  </w:style>
  <w:style w:type="paragraph" w:customStyle="1" w:styleId="22">
    <w:name w:val="lawyeeWritContent1"/>
    <w:basedOn w:val="1"/>
    <w:link w:val="40"/>
    <w:qFormat/>
    <w:uiPriority w:val="0"/>
    <w:pPr>
      <w:ind w:firstLineChars="200"/>
    </w:pPr>
    <w:rPr>
      <w:rFonts w:ascii="仿宋_GB2312"/>
    </w:rPr>
  </w:style>
  <w:style w:type="paragraph" w:customStyle="1" w:styleId="23">
    <w:name w:val="lawyeeWritContent0"/>
    <w:basedOn w:val="1"/>
    <w:link w:val="41"/>
    <w:qFormat/>
    <w:uiPriority w:val="0"/>
    <w:pPr>
      <w:ind w:firstLineChars="200"/>
    </w:pPr>
    <w:rPr>
      <w:rFonts w:ascii="仿宋_GB2312"/>
    </w:rPr>
  </w:style>
  <w:style w:type="paragraph" w:customStyle="1" w:styleId="24">
    <w:name w:val="lawyeeWritContent2"/>
    <w:basedOn w:val="1"/>
    <w:link w:val="42"/>
    <w:qFormat/>
    <w:uiPriority w:val="0"/>
    <w:pPr>
      <w:ind w:firstLineChars="200"/>
    </w:pPr>
    <w:rPr>
      <w:rFonts w:ascii="仿宋_GB2312"/>
    </w:rPr>
  </w:style>
  <w:style w:type="paragraph" w:customStyle="1" w:styleId="25">
    <w:name w:val="lawyeeJudge1"/>
    <w:basedOn w:val="1"/>
    <w:link w:val="43"/>
    <w:qFormat/>
    <w:uiPriority w:val="0"/>
    <w:pPr>
      <w:spacing w:line="520" w:lineRule="exact"/>
      <w:ind w:rightChars="200"/>
      <w:jc w:val="right"/>
    </w:pPr>
    <w:rPr>
      <w:rFonts w:ascii="仿宋_GB2312"/>
    </w:rPr>
  </w:style>
  <w:style w:type="paragraph" w:customStyle="1" w:styleId="26">
    <w:name w:val="lawyeeJudge0"/>
    <w:basedOn w:val="1"/>
    <w:link w:val="44"/>
    <w:qFormat/>
    <w:uiPriority w:val="0"/>
    <w:pPr>
      <w:spacing w:line="520" w:lineRule="exact"/>
      <w:ind w:rightChars="200"/>
      <w:jc w:val="right"/>
    </w:pPr>
    <w:rPr>
      <w:rFonts w:ascii="仿宋_GB2312"/>
    </w:rPr>
  </w:style>
  <w:style w:type="paragraph" w:customStyle="1" w:styleId="27">
    <w:name w:val="lawyeeDate1"/>
    <w:basedOn w:val="1"/>
    <w:link w:val="45"/>
    <w:qFormat/>
    <w:uiPriority w:val="0"/>
    <w:pPr>
      <w:ind w:rightChars="200"/>
      <w:jc w:val="right"/>
    </w:pPr>
    <w:rPr>
      <w:rFonts w:ascii="仿宋_GB2312"/>
    </w:rPr>
  </w:style>
  <w:style w:type="paragraph" w:customStyle="1" w:styleId="28">
    <w:name w:val="lawyeeJudge2"/>
    <w:basedOn w:val="1"/>
    <w:link w:val="46"/>
    <w:qFormat/>
    <w:uiPriority w:val="0"/>
    <w:pPr>
      <w:spacing w:line="520" w:lineRule="exact"/>
      <w:ind w:rightChars="200"/>
      <w:jc w:val="right"/>
    </w:pPr>
    <w:rPr>
      <w:rFonts w:ascii="仿宋_GB2312"/>
    </w:rPr>
  </w:style>
  <w:style w:type="paragraph" w:customStyle="1" w:styleId="29">
    <w:name w:val="lawyeeAttach1"/>
    <w:basedOn w:val="1"/>
    <w:link w:val="47"/>
    <w:qFormat/>
    <w:uiPriority w:val="0"/>
    <w:pPr>
      <w:spacing w:line="520" w:lineRule="exact"/>
      <w:ind w:firstLineChars="200"/>
      <w:jc w:val="left"/>
    </w:pPr>
    <w:rPr>
      <w:rFonts w:ascii="仿宋_GB2312"/>
    </w:rPr>
  </w:style>
  <w:style w:type="paragraph" w:customStyle="1" w:styleId="30">
    <w:name w:val="lawyeeAttachContent1"/>
    <w:basedOn w:val="1"/>
    <w:link w:val="48"/>
    <w:qFormat/>
    <w:uiPriority w:val="0"/>
    <w:pPr>
      <w:spacing w:line="520" w:lineRule="exact"/>
      <w:ind w:firstLineChars="200"/>
      <w:jc w:val="left"/>
    </w:pPr>
    <w:rPr>
      <w:rFonts w:ascii="仿宋_GB2312"/>
    </w:rPr>
  </w:style>
  <w:style w:type="paragraph" w:customStyle="1" w:styleId="31">
    <w:name w:val="lawyeeAttachContent0"/>
    <w:basedOn w:val="1"/>
    <w:link w:val="49"/>
    <w:qFormat/>
    <w:uiPriority w:val="0"/>
    <w:pPr>
      <w:spacing w:line="520" w:lineRule="exact"/>
      <w:ind w:firstLineChars="200"/>
      <w:jc w:val="left"/>
    </w:pPr>
    <w:rPr>
      <w:rFonts w:ascii="仿宋_GB2312"/>
    </w:rPr>
  </w:style>
  <w:style w:type="paragraph" w:customStyle="1" w:styleId="32">
    <w:name w:val="lawyeeAttachContent2"/>
    <w:basedOn w:val="1"/>
    <w:link w:val="50"/>
    <w:qFormat/>
    <w:uiPriority w:val="0"/>
    <w:pPr>
      <w:spacing w:line="520" w:lineRule="exact"/>
      <w:ind w:firstLineChars="200"/>
      <w:jc w:val="left"/>
    </w:pPr>
    <w:rPr>
      <w:rFonts w:ascii="仿宋_GB2312"/>
    </w:rPr>
  </w:style>
  <w:style w:type="character" w:customStyle="1" w:styleId="33">
    <w:name w:val="页脚 Char"/>
    <w:basedOn w:val="13"/>
    <w:link w:val="10"/>
    <w:qFormat/>
    <w:uiPriority w:val="99"/>
    <w:rPr>
      <w:kern w:val="2"/>
      <w:sz w:val="18"/>
      <w:szCs w:val="18"/>
    </w:rPr>
  </w:style>
  <w:style w:type="character" w:customStyle="1" w:styleId="34">
    <w:name w:val="正文首行缩进 Char"/>
    <w:basedOn w:val="13"/>
    <w:link w:val="2"/>
    <w:qFormat/>
    <w:uiPriority w:val="0"/>
    <w:rPr>
      <w:kern w:val="2"/>
      <w:sz w:val="32"/>
    </w:rPr>
  </w:style>
  <w:style w:type="character" w:customStyle="1" w:styleId="35">
    <w:name w:val="正文文本缩进 Char"/>
    <w:basedOn w:val="13"/>
    <w:link w:val="5"/>
    <w:qFormat/>
    <w:uiPriority w:val="0"/>
    <w:rPr>
      <w:rFonts w:ascii="宋体" w:hAnsi="宋体"/>
      <w:kern w:val="2"/>
      <w:sz w:val="32"/>
      <w:szCs w:val="24"/>
    </w:rPr>
  </w:style>
  <w:style w:type="character" w:customStyle="1" w:styleId="36">
    <w:name w:val="apple-converted-space"/>
    <w:basedOn w:val="13"/>
    <w:qFormat/>
    <w:uiPriority w:val="0"/>
  </w:style>
  <w:style w:type="character" w:customStyle="1" w:styleId="37">
    <w:name w:val="lawyeeCourtName1 Char"/>
    <w:basedOn w:val="13"/>
    <w:link w:val="19"/>
    <w:qFormat/>
    <w:uiPriority w:val="0"/>
    <w:rPr>
      <w:rFonts w:ascii="方正小标宋_GBK" w:eastAsia="方正小标宋_GBK"/>
      <w:kern w:val="2"/>
      <w:sz w:val="44"/>
      <w:szCs w:val="24"/>
    </w:rPr>
  </w:style>
  <w:style w:type="character" w:customStyle="1" w:styleId="38">
    <w:name w:val="lawyeeWritName1 Char"/>
    <w:basedOn w:val="37"/>
    <w:link w:val="20"/>
    <w:qFormat/>
    <w:uiPriority w:val="0"/>
  </w:style>
  <w:style w:type="character" w:customStyle="1" w:styleId="39">
    <w:name w:val="lawyeeCaseNum1 Char"/>
    <w:basedOn w:val="37"/>
    <w:link w:val="21"/>
    <w:qFormat/>
    <w:uiPriority w:val="0"/>
    <w:rPr>
      <w:rFonts w:ascii="仿宋_GB2312" w:eastAsia="仿宋_GB2312"/>
      <w:sz w:val="32"/>
    </w:rPr>
  </w:style>
  <w:style w:type="character" w:customStyle="1" w:styleId="40">
    <w:name w:val="lawyeeWritContent1 Char"/>
    <w:basedOn w:val="37"/>
    <w:link w:val="22"/>
    <w:qFormat/>
    <w:uiPriority w:val="0"/>
    <w:rPr>
      <w:rFonts w:ascii="仿宋_GB2312" w:eastAsia="仿宋_GB2312"/>
      <w:sz w:val="32"/>
    </w:rPr>
  </w:style>
  <w:style w:type="character" w:customStyle="1" w:styleId="41">
    <w:name w:val="lawyeeWritContent0 Char"/>
    <w:basedOn w:val="37"/>
    <w:link w:val="23"/>
    <w:qFormat/>
    <w:uiPriority w:val="0"/>
    <w:rPr>
      <w:rFonts w:ascii="仿宋_GB2312" w:eastAsia="仿宋_GB2312"/>
      <w:sz w:val="32"/>
    </w:rPr>
  </w:style>
  <w:style w:type="character" w:customStyle="1" w:styleId="42">
    <w:name w:val="lawyeeWritContent2 Char"/>
    <w:basedOn w:val="37"/>
    <w:link w:val="24"/>
    <w:qFormat/>
    <w:uiPriority w:val="0"/>
    <w:rPr>
      <w:rFonts w:ascii="仿宋_GB2312" w:eastAsia="仿宋_GB2312"/>
      <w:sz w:val="32"/>
    </w:rPr>
  </w:style>
  <w:style w:type="character" w:customStyle="1" w:styleId="43">
    <w:name w:val="lawyeeJudge1 Char"/>
    <w:basedOn w:val="37"/>
    <w:link w:val="25"/>
    <w:qFormat/>
    <w:uiPriority w:val="0"/>
    <w:rPr>
      <w:rFonts w:ascii="仿宋_GB2312" w:eastAsia="仿宋_GB2312"/>
      <w:sz w:val="32"/>
    </w:rPr>
  </w:style>
  <w:style w:type="character" w:customStyle="1" w:styleId="44">
    <w:name w:val="lawyeeJudge0 Char"/>
    <w:basedOn w:val="37"/>
    <w:link w:val="26"/>
    <w:qFormat/>
    <w:uiPriority w:val="0"/>
    <w:rPr>
      <w:rFonts w:ascii="仿宋_GB2312" w:eastAsia="仿宋_GB2312"/>
      <w:sz w:val="32"/>
    </w:rPr>
  </w:style>
  <w:style w:type="character" w:customStyle="1" w:styleId="45">
    <w:name w:val="lawyeeDate1 Char"/>
    <w:basedOn w:val="37"/>
    <w:link w:val="27"/>
    <w:qFormat/>
    <w:uiPriority w:val="0"/>
    <w:rPr>
      <w:rFonts w:ascii="仿宋_GB2312" w:eastAsia="仿宋_GB2312"/>
      <w:sz w:val="32"/>
    </w:rPr>
  </w:style>
  <w:style w:type="character" w:customStyle="1" w:styleId="46">
    <w:name w:val="lawyeeJudge2 Char"/>
    <w:basedOn w:val="37"/>
    <w:link w:val="28"/>
    <w:qFormat/>
    <w:uiPriority w:val="0"/>
    <w:rPr>
      <w:rFonts w:ascii="仿宋_GB2312" w:eastAsia="仿宋_GB2312"/>
      <w:sz w:val="32"/>
    </w:rPr>
  </w:style>
  <w:style w:type="character" w:customStyle="1" w:styleId="47">
    <w:name w:val="lawyeeAttach1 Char"/>
    <w:basedOn w:val="37"/>
    <w:link w:val="29"/>
    <w:qFormat/>
    <w:uiPriority w:val="0"/>
    <w:rPr>
      <w:rFonts w:ascii="仿宋_GB2312" w:eastAsia="仿宋_GB2312"/>
      <w:sz w:val="32"/>
    </w:rPr>
  </w:style>
  <w:style w:type="character" w:customStyle="1" w:styleId="48">
    <w:name w:val="lawyeeAttachContent1 Char"/>
    <w:basedOn w:val="37"/>
    <w:link w:val="30"/>
    <w:qFormat/>
    <w:uiPriority w:val="0"/>
    <w:rPr>
      <w:rFonts w:ascii="仿宋_GB2312" w:eastAsia="仿宋_GB2312"/>
      <w:sz w:val="32"/>
    </w:rPr>
  </w:style>
  <w:style w:type="character" w:customStyle="1" w:styleId="49">
    <w:name w:val="lawyeeAttachContent0 Char"/>
    <w:basedOn w:val="37"/>
    <w:link w:val="31"/>
    <w:qFormat/>
    <w:uiPriority w:val="0"/>
    <w:rPr>
      <w:rFonts w:ascii="仿宋_GB2312" w:eastAsia="仿宋_GB2312"/>
      <w:sz w:val="32"/>
    </w:rPr>
  </w:style>
  <w:style w:type="character" w:customStyle="1" w:styleId="50">
    <w:name w:val="lawyeeAttachContent2 Char"/>
    <w:basedOn w:val="37"/>
    <w:link w:val="32"/>
    <w:qFormat/>
    <w:uiPriority w:val="0"/>
    <w:rPr>
      <w:rFonts w:ascii="仿宋_GB2312" w:eastAsia="仿宋_GB2312"/>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455</Words>
  <Characters>2599</Characters>
  <Lines>21</Lines>
  <Paragraphs>6</Paragraphs>
  <TotalTime>0</TotalTime>
  <ScaleCrop>false</ScaleCrop>
  <LinksUpToDate>false</LinksUpToDate>
  <CharactersWithSpaces>3048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2018-03-07T02:55:00Z</dcterms:created>
  <dc:creator>user_common</dc:creator>
  <cp:lastModifiedBy>TF-PC</cp:lastModifiedBy>
  <cp:lastPrinted>2018-03-16T07:16:00Z</cp:lastPrinted>
  <dcterms:modified xsi:type="dcterms:W3CDTF">2018-08-27T09:39:19Z</dcterms:modified>
  <dc:title>天津市蓟县人民法院刑事判决书（稿）</dc:title>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