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5" w:rightChars="0"/>
        <w:jc w:val="center"/>
        <w:textAlignment w:val="auto"/>
        <w:outlineLvl w:val="9"/>
        <w:rPr>
          <w:rFonts w:hint="eastAsia" w:ascii="仿宋_GB2312" w:eastAsia="仿宋_GB2312"/>
          <w:color w:val="auto"/>
          <w:sz w:val="44"/>
          <w:szCs w:val="4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5" w:rightChars="0"/>
        <w:jc w:val="center"/>
        <w:textAlignment w:val="auto"/>
        <w:outlineLvl w:val="9"/>
        <w:rPr>
          <w:rFonts w:hint="eastAsia" w:ascii="方正小标宋简体" w:eastAsia="方正小标宋简体"/>
          <w:color w:val="auto"/>
          <w:sz w:val="44"/>
        </w:rPr>
      </w:pPr>
      <w:r>
        <w:rPr>
          <w:rFonts w:hint="eastAsia" w:ascii="仿宋_GB2312" w:eastAsia="仿宋_GB2312"/>
          <w:color w:val="auto"/>
          <w:sz w:val="44"/>
          <w:szCs w:val="44"/>
        </w:rPr>
        <w:t xml:space="preserve">      </w:t>
      </w:r>
      <w:r>
        <w:rPr>
          <w:rFonts w:hint="eastAsia" w:ascii="仿宋_GB2312" w:eastAsia="仿宋_GB2312"/>
          <w:color w:val="auto"/>
          <w:sz w:val="36"/>
          <w:szCs w:val="36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5" w:rightChars="0"/>
        <w:jc w:val="center"/>
        <w:textAlignment w:val="auto"/>
        <w:outlineLvl w:val="9"/>
        <w:rPr>
          <w:rFonts w:hint="eastAsia" w:ascii="方正小标宋简体" w:eastAsia="方正小标宋简体"/>
          <w:color w:val="auto"/>
          <w:sz w:val="44"/>
        </w:rPr>
      </w:pPr>
      <w:r>
        <w:rPr>
          <w:rFonts w:hint="eastAsia" w:ascii="方正小标宋简体" w:eastAsia="方正小标宋简体"/>
          <w:color w:val="auto"/>
          <w:sz w:val="44"/>
        </w:rPr>
        <w:t>天津市武清区人民法院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jc w:val="center"/>
        <w:textAlignment w:val="auto"/>
        <w:outlineLvl w:val="9"/>
        <w:rPr>
          <w:rFonts w:hint="eastAsia" w:ascii="方正小标宋简体" w:eastAsia="方正小标宋简体"/>
          <w:color w:val="auto"/>
          <w:spacing w:val="50"/>
          <w:sz w:val="52"/>
          <w:szCs w:val="52"/>
        </w:rPr>
      </w:pPr>
      <w:r>
        <w:rPr>
          <w:rFonts w:hint="eastAsia" w:ascii="方正小标宋简体" w:eastAsia="方正小标宋简体"/>
          <w:color w:val="auto"/>
          <w:sz w:val="44"/>
        </w:rPr>
        <w:t>刑 事 判 决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644" w:firstLine="622" w:firstLineChars="200"/>
        <w:textAlignment w:val="auto"/>
        <w:outlineLvl w:val="9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644" w:firstLine="4354" w:firstLineChars="1400"/>
        <w:textAlignment w:val="auto"/>
        <w:outlineLvl w:val="9"/>
        <w:rPr>
          <w:rFonts w:hint="eastAsia" w:ascii="仿宋_GB2312" w:eastAsia="仿宋_GB2312"/>
          <w:color w:val="auto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（2017）津0114刑初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243</w:t>
      </w:r>
      <w:r>
        <w:rPr>
          <w:rFonts w:hint="eastAsia" w:ascii="仿宋_GB2312" w:eastAsia="仿宋_GB2312"/>
          <w:color w:val="auto"/>
          <w:sz w:val="32"/>
          <w:szCs w:val="32"/>
        </w:rPr>
        <w:t>号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eastAsia="仿宋_GB2312"/>
          <w:color w:val="auto"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57" w:rightChars="0" w:firstLine="622" w:firstLineChars="200"/>
        <w:textAlignment w:val="auto"/>
        <w:outlineLvl w:val="9"/>
        <w:rPr>
          <w:rFonts w:ascii="仿宋_GB2312" w:eastAsia="仿宋_GB2312"/>
          <w:color w:val="auto"/>
          <w:sz w:val="32"/>
        </w:rPr>
      </w:pPr>
      <w:r>
        <w:rPr>
          <w:rFonts w:hint="eastAsia" w:ascii="仿宋_GB2312" w:eastAsia="仿宋_GB2312"/>
          <w:color w:val="auto"/>
          <w:sz w:val="32"/>
        </w:rPr>
        <w:t>公诉机关天津市武清区人民检察院。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outlineLvl w:val="9"/>
        <w:rPr>
          <w:rFonts w:hint="eastAsia" w:ascii="仿宋_GB2312" w:eastAsia="仿宋_GB2312"/>
          <w:color w:val="auto"/>
          <w:sz w:val="32"/>
        </w:rPr>
      </w:pPr>
      <w:r>
        <w:rPr>
          <w:rFonts w:hint="eastAsia" w:ascii="仿宋_GB2312" w:eastAsia="仿宋_GB2312"/>
          <w:color w:val="auto"/>
          <w:sz w:val="32"/>
        </w:rPr>
        <w:t>被告人穆亚军，男，1976年3月2日出生于天津市武清区，汉族，群众，初中文化，农民，住武清区黄花店镇包营村1区15号。因涉嫌犯信用卡诈骗罪于2016年3月1日被天津市公安局武清分局取保候审，2017年2月24日被天津市武清区人民检察院取保候审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hAnsi="宋体" w:eastAsia="仿宋_GB2312"/>
          <w:color w:val="auto"/>
          <w:sz w:val="32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</w:rPr>
        <w:t>天津市武清区人民检察院以津武检公诉刑诉[2017]235号起诉书指控</w:t>
      </w:r>
      <w:r>
        <w:rPr>
          <w:rFonts w:hint="eastAsia" w:ascii="仿宋_GB2312" w:hAnsi="宋体" w:eastAsia="仿宋_GB2312"/>
          <w:color w:val="auto"/>
          <w:sz w:val="32"/>
          <w:lang w:eastAsia="zh-CN"/>
        </w:rPr>
        <w:t>被告人穆亚军犯信用卡诈骗罪，于</w:t>
      </w:r>
      <w:r>
        <w:rPr>
          <w:rFonts w:hint="eastAsia" w:ascii="仿宋_GB2312" w:hAnsi="宋体" w:eastAsia="仿宋_GB2312"/>
          <w:color w:val="auto"/>
          <w:sz w:val="32"/>
          <w:lang w:val="en-US" w:eastAsia="zh-CN"/>
        </w:rPr>
        <w:t>2017年4月6日向本院提起公诉。本院于当日立案，并依法组成合议庭，公开开庭进行了审理。天津市武清区人民检察院指派检察员张志超出庭支持公诉，被告人穆亚军到庭参加了诉讼。在审理过程中，公诉机关于2017年7月6日发现案件需要补充侦查，建议延期审理，合议庭同意，本案延期审理。公诉机关于2017年8月6日补充侦查完毕，将证据材料移送本院，并提请恢复法庭审理。现已审理终结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eastAsia="仿宋_GB2312"/>
          <w:color w:val="auto"/>
          <w:sz w:val="32"/>
        </w:rPr>
      </w:pPr>
      <w:r>
        <w:rPr>
          <w:rFonts w:hint="eastAsia" w:ascii="仿宋_GB2312" w:hAnsi="宋体" w:eastAsia="仿宋_GB2312"/>
          <w:color w:val="auto"/>
          <w:sz w:val="32"/>
          <w:lang w:val="en-US" w:eastAsia="zh-CN"/>
        </w:rPr>
        <w:t>经审理查明，</w:t>
      </w:r>
      <w:r>
        <w:rPr>
          <w:rFonts w:hint="eastAsia" w:ascii="仿宋_GB2312" w:eastAsia="仿宋_GB2312"/>
          <w:color w:val="auto"/>
          <w:sz w:val="32"/>
        </w:rPr>
        <w:t>被告人穆亚军先后于2013年1月4日、2013年7月28日，在中国光大银行申领“金逸联名”信用卡及“阳光商旅”白金信用卡各1张，并于2013年1月16日至2014年4月26日间，多次使用天津市宇联通讯、天津市聚财隆德商贸有限公司、天津市远德汽车贸易有限公司等处的</w:t>
      </w:r>
      <w:r>
        <w:rPr>
          <w:rFonts w:hint="eastAsia" w:ascii="仿宋_GB2312" w:eastAsia="仿宋_GB2312"/>
          <w:color w:val="auto"/>
          <w:sz w:val="32"/>
          <w:lang w:val="en-US" w:eastAsia="zh-CN"/>
        </w:rPr>
        <w:t>POS</w:t>
      </w:r>
      <w:r>
        <w:rPr>
          <w:rFonts w:hint="eastAsia" w:ascii="仿宋_GB2312" w:eastAsia="仿宋_GB2312"/>
          <w:color w:val="auto"/>
          <w:sz w:val="32"/>
        </w:rPr>
        <w:t>机，对该2张信用卡进行套现、消费，截止2016年3月1日案发前，未归还透支款达6万余元人民币。期间发卡行采用电话催收、上门送达催收函等形式，多次对其进行催收后，超过三个月其仍未归还欠款。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eastAsia="仿宋_GB2312"/>
          <w:color w:val="auto"/>
          <w:sz w:val="32"/>
        </w:rPr>
      </w:pPr>
      <w:r>
        <w:rPr>
          <w:rFonts w:hint="eastAsia" w:ascii="仿宋_GB2312" w:eastAsia="仿宋_GB2312"/>
          <w:color w:val="auto"/>
          <w:sz w:val="32"/>
        </w:rPr>
        <w:t>被告人穆亚军后被抓获，并在案发后归还部分欠款。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eastAsia="仿宋_GB2312"/>
          <w:color w:val="auto"/>
          <w:sz w:val="32"/>
          <w:lang w:eastAsia="zh-CN"/>
        </w:rPr>
      </w:pPr>
      <w:r>
        <w:rPr>
          <w:rFonts w:hint="eastAsia" w:ascii="仿宋_GB2312" w:eastAsia="仿宋_GB2312"/>
          <w:color w:val="auto"/>
          <w:sz w:val="32"/>
          <w:lang w:eastAsia="zh-CN"/>
        </w:rPr>
        <w:t>在本院审理期间，被告人穆亚军归还了全部欠款。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hAnsi="宋体" w:eastAsia="仿宋_GB2312"/>
          <w:color w:val="auto"/>
          <w:sz w:val="32"/>
          <w:lang w:eastAsia="zh-CN"/>
        </w:rPr>
      </w:pPr>
      <w:r>
        <w:rPr>
          <w:rFonts w:hint="eastAsia" w:ascii="仿宋_GB2312" w:eastAsia="仿宋_GB2312"/>
          <w:color w:val="auto"/>
          <w:sz w:val="32"/>
          <w:lang w:eastAsia="zh-CN"/>
        </w:rPr>
        <w:t>上述事实，被告人穆亚军在开庭审理中亦无异议，且有案件来源及抓获经过、证人证言、</w:t>
      </w:r>
      <w:r>
        <w:rPr>
          <w:rFonts w:hint="eastAsia" w:ascii="仿宋_GB2312" w:hAnsi="宋体" w:eastAsia="仿宋_GB2312"/>
          <w:color w:val="auto"/>
          <w:sz w:val="32"/>
        </w:rPr>
        <w:t>关于穆亚军涉嫌信用卡恶意透支的举报材料、委托书、办卡申请表副本、信用卡逾期催收记录副本、交易明细副本</w:t>
      </w:r>
      <w:r>
        <w:rPr>
          <w:rFonts w:hint="eastAsia" w:ascii="仿宋_GB2312" w:hAnsi="宋体" w:eastAsia="仿宋_GB2312"/>
          <w:color w:val="auto"/>
          <w:sz w:val="32"/>
          <w:lang w:eastAsia="zh-CN"/>
        </w:rPr>
        <w:t>、</w:t>
      </w:r>
      <w:r>
        <w:rPr>
          <w:rFonts w:hint="eastAsia" w:ascii="仿宋_GB2312" w:hAnsi="宋体" w:eastAsia="仿宋_GB2312"/>
          <w:color w:val="auto"/>
          <w:sz w:val="32"/>
        </w:rPr>
        <w:t>协助查询财产通知书及穆亚军银行账户交易明细</w:t>
      </w:r>
      <w:r>
        <w:rPr>
          <w:rFonts w:hint="eastAsia" w:ascii="仿宋_GB2312" w:eastAsia="仿宋_GB2312"/>
          <w:color w:val="auto"/>
          <w:sz w:val="32"/>
          <w:lang w:eastAsia="zh-CN"/>
        </w:rPr>
        <w:t>、</w:t>
      </w:r>
      <w:r>
        <w:rPr>
          <w:rFonts w:hint="eastAsia" w:ascii="仿宋_GB2312" w:hAnsi="宋体" w:eastAsia="仿宋_GB2312"/>
          <w:color w:val="auto"/>
          <w:sz w:val="32"/>
        </w:rPr>
        <w:t>穆亚军信用卡还款</w:t>
      </w:r>
      <w:r>
        <w:rPr>
          <w:rFonts w:hint="eastAsia" w:ascii="仿宋_GB2312" w:hAnsi="宋体" w:eastAsia="仿宋_GB2312"/>
          <w:color w:val="auto"/>
          <w:sz w:val="32"/>
          <w:lang w:eastAsia="zh-CN"/>
        </w:rPr>
        <w:t>明细</w:t>
      </w:r>
      <w:r>
        <w:rPr>
          <w:rFonts w:hint="eastAsia" w:ascii="仿宋_GB2312" w:hAnsi="宋体" w:eastAsia="仿宋_GB2312"/>
          <w:color w:val="auto"/>
          <w:sz w:val="32"/>
        </w:rPr>
        <w:t>等</w:t>
      </w:r>
      <w:r>
        <w:rPr>
          <w:rFonts w:hint="eastAsia" w:ascii="仿宋_GB2312" w:hAnsi="宋体" w:eastAsia="仿宋_GB2312"/>
          <w:color w:val="auto"/>
          <w:sz w:val="32"/>
          <w:lang w:eastAsia="zh-CN"/>
        </w:rPr>
        <w:t>证据予以证明，足以认定。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</w:rPr>
      </w:pPr>
      <w:r>
        <w:rPr>
          <w:rFonts w:hint="eastAsia" w:ascii="仿宋_GB2312" w:hAnsi="宋体" w:eastAsia="仿宋_GB2312"/>
          <w:color w:val="auto"/>
          <w:sz w:val="32"/>
          <w:lang w:eastAsia="zh-CN"/>
        </w:rPr>
        <w:t>本院认为，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穆亚军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以非法占有为目的，在办理信用卡后，多次透支，且超过规定期限拒不还款，经发卡行多次催收，仍拒不归还，属恶意透支，且属数额较大，其行为已构成信用卡诈骗罪。公诉机关对被告人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穆亚军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犯罪的指控成立，要求适用法律条款的意见正确，应予采纳。被告人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穆亚军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在开庭审理中能自愿认罪，认罪态度较好，且已归还所欠银行款项，有悔罪表现，依法均可酌情从轻处罚。综上，被告人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穆亚军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犯信用卡诈骗罪，法定量刑幅度为</w:t>
      </w:r>
      <w:r>
        <w:rPr>
          <w:rFonts w:hint="eastAsia" w:ascii="仿宋_GB2312" w:eastAsia="仿宋_GB2312"/>
          <w:color w:val="auto"/>
          <w:sz w:val="32"/>
          <w:szCs w:val="32"/>
        </w:rPr>
        <w:t>五年以下有期徒刑或者拘役，并处二万元以上二十万元以下罚金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。对公诉人综合案件情况发表的建议判处被告人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穆亚军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有期徒刑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二年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至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三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年，并处罚金的量刑意见，本院予以考虑。本院为维护市场经济秩序，保障国家的金融管理制度和公私财产所有权不受侵犯，打击犯罪，依照《中华人民共和国刑法》第一百九十六条第一款第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  <w:t>(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四）项、第二款、第七十二条第一款、第三款、第七十三条第二款、第三款的规定，判决如下：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cr/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 xml:space="preserve">    被告人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穆亚军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犯信用卡诈骗罪，判处有期徒刑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二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年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六个月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，缓刑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三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年，并处罚金人民币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  <w:t>2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0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  <w:t>,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000元（</w:t>
      </w:r>
      <w:r>
        <w:rPr>
          <w:rFonts w:hint="eastAsia" w:ascii="仿宋_GB2312" w:hAnsi="宋体" w:eastAsia="仿宋_GB2312"/>
          <w:color w:val="auto"/>
          <w:sz w:val="32"/>
        </w:rPr>
        <w:t>缓刑考验期限，从判决确定之日起计算；在刑罚执行期间，被告人应当在相关组织接受社区矫正</w:t>
      </w:r>
      <w:r>
        <w:rPr>
          <w:rFonts w:hint="eastAsia" w:ascii="仿宋_GB2312" w:hAnsi="宋体" w:eastAsia="仿宋_GB2312"/>
          <w:color w:val="auto"/>
          <w:sz w:val="32"/>
          <w:lang w:eastAsia="zh-CN"/>
        </w:rPr>
        <w:t>；</w:t>
      </w:r>
      <w:r>
        <w:rPr>
          <w:rFonts w:hint="eastAsia" w:ascii="仿宋_GB2312" w:eastAsia="仿宋_GB2312"/>
          <w:color w:val="auto"/>
          <w:sz w:val="32"/>
          <w:szCs w:val="32"/>
        </w:rPr>
        <w:t>罚金</w:t>
      </w:r>
      <w:r>
        <w:rPr>
          <w:rFonts w:hint="eastAsia" w:ascii="仿宋_GB2312" w:hAnsi="宋体" w:eastAsia="仿宋_GB2312"/>
          <w:color w:val="auto"/>
          <w:sz w:val="32"/>
        </w:rPr>
        <w:t>自判决生效的第二日起十日内缴纳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</w:rPr>
        <w:t>如不服本判决，可在接到判决书的第二日起十日内，通过本院或者直接向天津市第一中级人民法院提出上诉，书面上诉的，应当提交上诉状正本一份、副本一份。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</w:rPr>
      </w:pPr>
    </w:p>
    <w:p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</w:rPr>
        <w:t xml:space="preserve">                      审  判  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长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 xml:space="preserve">      李宗莲</w:t>
      </w:r>
    </w:p>
    <w:p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  <w:t xml:space="preserve">                      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人民陪审员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  <w:t xml:space="preserve">      宋德生</w:t>
      </w:r>
    </w:p>
    <w:p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  <w:t xml:space="preserve">                      人民陪审员      肖玉霞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rPr>
          <w:rFonts w:ascii="仿宋_GB2312" w:eastAsia="仿宋_GB2312"/>
          <w:color w:val="auto"/>
          <w:kern w:val="0"/>
          <w:sz w:val="32"/>
          <w:szCs w:val="30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</w:rPr>
        <w:t xml:space="preserve">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</w:rPr>
      </w:pPr>
    </w:p>
    <w:p>
      <w:pPr>
        <w:keepNext w:val="0"/>
        <w:keepLines w:val="0"/>
        <w:pageBreakBefore w:val="0"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</w:rPr>
        <w:t xml:space="preserve">                      二〇一七年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十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月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val="en-US" w:eastAsia="zh-CN"/>
        </w:rPr>
        <w:t>十一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>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right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jc w:val="center"/>
        <w:textAlignment w:val="auto"/>
        <w:rPr>
          <w:rFonts w:hint="eastAsia" w:ascii="仿宋_GB2312" w:eastAsia="仿宋_GB2312"/>
          <w:color w:val="auto"/>
          <w:kern w:val="0"/>
          <w:sz w:val="32"/>
          <w:szCs w:val="30"/>
        </w:rPr>
      </w:pPr>
      <w:r>
        <w:rPr>
          <w:rFonts w:hint="eastAsia" w:ascii="仿宋_GB2312" w:eastAsia="仿宋_GB2312"/>
          <w:color w:val="auto"/>
          <w:kern w:val="0"/>
          <w:sz w:val="32"/>
          <w:szCs w:val="30"/>
        </w:rPr>
        <w:t xml:space="preserve">                      书  记  员      </w:t>
      </w:r>
      <w:r>
        <w:rPr>
          <w:rFonts w:hint="eastAsia" w:ascii="仿宋_GB2312" w:eastAsia="仿宋_GB2312"/>
          <w:color w:val="auto"/>
          <w:kern w:val="0"/>
          <w:sz w:val="32"/>
          <w:szCs w:val="30"/>
          <w:lang w:eastAsia="zh-CN"/>
        </w:rPr>
        <w:t>常忠圆</w:t>
      </w:r>
      <w:r>
        <w:rPr>
          <w:rFonts w:hint="eastAsia" w:ascii="仿宋_GB2312" w:eastAsia="仿宋_GB2312"/>
          <w:color w:val="auto"/>
          <w:kern w:val="0"/>
          <w:sz w:val="32"/>
          <w:szCs w:val="30"/>
        </w:rPr>
        <w:t xml:space="preserve">                   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640"/>
        <w:textAlignment w:val="auto"/>
        <w:rPr>
          <w:rFonts w:hint="eastAsia" w:ascii="仿宋_GB2312" w:hAnsi="Times New Roman" w:eastAsia="仿宋_GB2312" w:cs="Times New Roman"/>
          <w:color w:val="auto"/>
          <w:sz w:val="32"/>
          <w:szCs w:val="32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640"/>
        <w:textAlignment w:val="auto"/>
        <w:rPr>
          <w:rFonts w:hint="eastAsia" w:ascii="仿宋_GB2312" w:hAnsi="Times New Roman" w:eastAsia="仿宋_GB2312" w:cs="Times New Roman"/>
          <w:color w:val="auto"/>
          <w:sz w:val="32"/>
          <w:szCs w:val="32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right="640"/>
        <w:textAlignment w:val="auto"/>
        <w:rPr>
          <w:rFonts w:hint="eastAsia" w:ascii="仿宋_GB2312" w:hAnsi="Times New Roman" w:eastAsia="仿宋_GB2312" w:cs="Times New Roman"/>
          <w:color w:val="auto"/>
          <w:sz w:val="32"/>
          <w:szCs w:val="32"/>
        </w:rPr>
      </w:pPr>
      <w:r>
        <w:rPr>
          <w:rFonts w:hint="eastAsia" w:ascii="仿宋_GB2312" w:hAnsi="Times New Roman" w:eastAsia="仿宋_GB2312" w:cs="Times New Roman"/>
          <w:color w:val="auto"/>
          <w:sz w:val="32"/>
          <w:szCs w:val="32"/>
        </w:rPr>
        <w:t>附判决引用的《中华人民共和国刑法》相关条款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 xml:space="preserve">    第一百九十六条　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　　(一)使用伪造的信用卡，或者使用以虚假的身份证明骗领的信用卡的;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　　(二)使用作废的信用卡的;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　　(三)冒用他人信用卡的;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　　(四)恶意透支的。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　　前款所称恶意透支，是指持卡人以非法占有为目的，超过规定限额或者规定期限透支，并且经发卡银行催收后仍不归还的行为。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盗窃信用卡并使用的，依照本法第二百六十四条的规定定罪处罚。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hAnsi="宋体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第七十二条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640"/>
        <w:textAlignment w:val="auto"/>
        <w:rPr>
          <w:rFonts w:hint="eastAsia" w:ascii="仿宋_GB2312" w:hAnsi="宋体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（一）犯罪情节较轻；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640"/>
        <w:textAlignment w:val="auto"/>
        <w:rPr>
          <w:rFonts w:hint="eastAsia" w:ascii="仿宋_GB2312" w:hAnsi="宋体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（二）有悔罪表现；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640"/>
        <w:textAlignment w:val="auto"/>
        <w:rPr>
          <w:rFonts w:hint="eastAsia" w:ascii="仿宋_GB2312" w:hAnsi="宋体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（三）没有再犯罪的危险；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hAnsi="宋体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（四）宣告缓刑对所居住社区没有重大不良影响。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hAnsi="宋体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宣告缓刑，可以根据犯罪情况，同时禁止犯罪分子在缓刑考验期限内从事特定活动，进入特定区域、场所，接触特定的人。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hAnsi="宋体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被宣告缓刑的犯罪分子，如果被判处附加刑，附加刑仍须执行。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hAnsi="宋体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第七十三条 拘役的缓刑考验期限为原判刑期以上一年以下，但是不能少于二个月。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hAnsi="宋体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有期徒刑的缓刑考验期限为原判刑期以上五年以下，但是不能少于一年。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hAnsi="宋体" w:eastAsia="仿宋_GB2312"/>
          <w:color w:val="auto"/>
          <w:sz w:val="32"/>
          <w:szCs w:val="32"/>
        </w:rPr>
        <w:t>缓刑考验期限，从判决确定之日起计算。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22" w:firstLineChars="200"/>
        <w:textAlignment w:val="auto"/>
        <w:rPr>
          <w:rFonts w:hint="eastAsia" w:ascii="仿宋_GB2312" w:hAnsi="Arial Narrow" w:eastAsia="仿宋_GB2312" w:cs="宋体"/>
          <w:color w:val="auto"/>
          <w:kern w:val="0"/>
          <w:sz w:val="32"/>
          <w:szCs w:val="32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rPr>
          <w:rFonts w:hint="eastAsia" w:ascii="仿宋_GB2312" w:hAnsi="宋体" w:eastAsia="仿宋_GB2312"/>
          <w:color w:val="auto"/>
          <w:sz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rPr>
          <w:rFonts w:hint="eastAsia" w:ascii="仿宋_GB2312" w:hAnsi="宋体" w:eastAsia="仿宋_GB2312"/>
          <w:color w:val="auto"/>
          <w:sz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rPr>
          <w:rFonts w:hint="eastAsia" w:ascii="仿宋_GB2312" w:hAnsi="宋体" w:eastAsia="仿宋_GB2312"/>
          <w:color w:val="auto"/>
          <w:sz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rPr>
          <w:rFonts w:hint="eastAsia" w:ascii="仿宋_GB2312" w:hAnsi="宋体" w:eastAsia="仿宋_GB2312"/>
          <w:color w:val="auto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5"/>
        <w:textAlignment w:val="auto"/>
        <w:outlineLvl w:val="9"/>
        <w:rPr>
          <w:rFonts w:hint="eastAsia" w:ascii="仿宋_GB2312" w:hAnsi="宋体" w:eastAsia="仿宋_GB2312"/>
          <w:color w:val="auto"/>
          <w:sz w:val="32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41" w:right="1531" w:bottom="2041" w:left="1531" w:header="851" w:footer="1134" w:gutter="0"/>
      <w:cols w:space="720" w:num="1"/>
      <w:rtlGutter w:val="0"/>
      <w:docGrid w:type="linesAndChars" w:linePitch="579" w:charSpace="-1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1"/>
  <w:drawingGridVerticalSpacing w:val="290"/>
  <w:displayHorizontalDrawingGridEvery w:val="2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DEE"/>
    <w:rsid w:val="0003710F"/>
    <w:rsid w:val="000434D5"/>
    <w:rsid w:val="00097183"/>
    <w:rsid w:val="000A1851"/>
    <w:rsid w:val="000A1C25"/>
    <w:rsid w:val="000A2E41"/>
    <w:rsid w:val="000B2973"/>
    <w:rsid w:val="000C4B5A"/>
    <w:rsid w:val="000C7B79"/>
    <w:rsid w:val="000D1BEC"/>
    <w:rsid w:val="000E4925"/>
    <w:rsid w:val="00100763"/>
    <w:rsid w:val="001069C2"/>
    <w:rsid w:val="00111B16"/>
    <w:rsid w:val="00120844"/>
    <w:rsid w:val="00126DC3"/>
    <w:rsid w:val="00137541"/>
    <w:rsid w:val="001513E0"/>
    <w:rsid w:val="00184339"/>
    <w:rsid w:val="00190B28"/>
    <w:rsid w:val="001A2917"/>
    <w:rsid w:val="001C1AAA"/>
    <w:rsid w:val="001C4753"/>
    <w:rsid w:val="001C60F9"/>
    <w:rsid w:val="001D23AC"/>
    <w:rsid w:val="001F1ABA"/>
    <w:rsid w:val="001F3713"/>
    <w:rsid w:val="002167FC"/>
    <w:rsid w:val="002243D5"/>
    <w:rsid w:val="002414DA"/>
    <w:rsid w:val="00251EBC"/>
    <w:rsid w:val="00263AB8"/>
    <w:rsid w:val="00271F6F"/>
    <w:rsid w:val="00296574"/>
    <w:rsid w:val="002D501A"/>
    <w:rsid w:val="002E134B"/>
    <w:rsid w:val="002E5158"/>
    <w:rsid w:val="002E7CB4"/>
    <w:rsid w:val="002F2D17"/>
    <w:rsid w:val="002F6DDE"/>
    <w:rsid w:val="003219F8"/>
    <w:rsid w:val="00331185"/>
    <w:rsid w:val="00334CD6"/>
    <w:rsid w:val="00351A6C"/>
    <w:rsid w:val="00365C0C"/>
    <w:rsid w:val="00375895"/>
    <w:rsid w:val="00386BCB"/>
    <w:rsid w:val="00393D20"/>
    <w:rsid w:val="003C1E59"/>
    <w:rsid w:val="003C769E"/>
    <w:rsid w:val="003D441E"/>
    <w:rsid w:val="003D4F24"/>
    <w:rsid w:val="003E3F96"/>
    <w:rsid w:val="003E4CAB"/>
    <w:rsid w:val="004004E1"/>
    <w:rsid w:val="004130C4"/>
    <w:rsid w:val="00442F8E"/>
    <w:rsid w:val="00445D0B"/>
    <w:rsid w:val="00453EF2"/>
    <w:rsid w:val="00455374"/>
    <w:rsid w:val="004570CD"/>
    <w:rsid w:val="004730CA"/>
    <w:rsid w:val="004765FA"/>
    <w:rsid w:val="00495BB3"/>
    <w:rsid w:val="004A400E"/>
    <w:rsid w:val="004C75F5"/>
    <w:rsid w:val="004D0485"/>
    <w:rsid w:val="004E1971"/>
    <w:rsid w:val="004F2AD8"/>
    <w:rsid w:val="004F46B0"/>
    <w:rsid w:val="00511204"/>
    <w:rsid w:val="00515292"/>
    <w:rsid w:val="00521871"/>
    <w:rsid w:val="00543810"/>
    <w:rsid w:val="00546753"/>
    <w:rsid w:val="00546824"/>
    <w:rsid w:val="00570933"/>
    <w:rsid w:val="005738FF"/>
    <w:rsid w:val="00586854"/>
    <w:rsid w:val="00586917"/>
    <w:rsid w:val="005A0831"/>
    <w:rsid w:val="005B4A69"/>
    <w:rsid w:val="005B7C87"/>
    <w:rsid w:val="005C26CF"/>
    <w:rsid w:val="005E284F"/>
    <w:rsid w:val="005F3302"/>
    <w:rsid w:val="00616B43"/>
    <w:rsid w:val="0061700E"/>
    <w:rsid w:val="006227C6"/>
    <w:rsid w:val="00625AD3"/>
    <w:rsid w:val="00635367"/>
    <w:rsid w:val="00640474"/>
    <w:rsid w:val="00644A26"/>
    <w:rsid w:val="006811B3"/>
    <w:rsid w:val="0068774A"/>
    <w:rsid w:val="006A13B7"/>
    <w:rsid w:val="006B33F9"/>
    <w:rsid w:val="006D148B"/>
    <w:rsid w:val="006D1F75"/>
    <w:rsid w:val="00701327"/>
    <w:rsid w:val="00713CCA"/>
    <w:rsid w:val="0072000B"/>
    <w:rsid w:val="00732C16"/>
    <w:rsid w:val="0073734D"/>
    <w:rsid w:val="00781051"/>
    <w:rsid w:val="007851EC"/>
    <w:rsid w:val="007B2399"/>
    <w:rsid w:val="007B6752"/>
    <w:rsid w:val="007C2FDE"/>
    <w:rsid w:val="007C6FA1"/>
    <w:rsid w:val="007D3B6F"/>
    <w:rsid w:val="00801D83"/>
    <w:rsid w:val="00802E73"/>
    <w:rsid w:val="00804652"/>
    <w:rsid w:val="0082114B"/>
    <w:rsid w:val="00847BD4"/>
    <w:rsid w:val="00863066"/>
    <w:rsid w:val="008C0F03"/>
    <w:rsid w:val="008D64FF"/>
    <w:rsid w:val="008F0177"/>
    <w:rsid w:val="008F75D5"/>
    <w:rsid w:val="00905D57"/>
    <w:rsid w:val="00927D69"/>
    <w:rsid w:val="00937E3F"/>
    <w:rsid w:val="00976A35"/>
    <w:rsid w:val="00981FA5"/>
    <w:rsid w:val="00992A41"/>
    <w:rsid w:val="009A4686"/>
    <w:rsid w:val="009B00FD"/>
    <w:rsid w:val="009B5E77"/>
    <w:rsid w:val="009F5EF4"/>
    <w:rsid w:val="00A41823"/>
    <w:rsid w:val="00A50590"/>
    <w:rsid w:val="00A527C3"/>
    <w:rsid w:val="00A63880"/>
    <w:rsid w:val="00A642CD"/>
    <w:rsid w:val="00A65718"/>
    <w:rsid w:val="00A71393"/>
    <w:rsid w:val="00A7713F"/>
    <w:rsid w:val="00A815E3"/>
    <w:rsid w:val="00A97DC0"/>
    <w:rsid w:val="00AA3FEF"/>
    <w:rsid w:val="00AA70F5"/>
    <w:rsid w:val="00AB5699"/>
    <w:rsid w:val="00AB7B4A"/>
    <w:rsid w:val="00AC38F3"/>
    <w:rsid w:val="00AC3A86"/>
    <w:rsid w:val="00AC65BD"/>
    <w:rsid w:val="00AD6276"/>
    <w:rsid w:val="00AE6EFB"/>
    <w:rsid w:val="00AF443D"/>
    <w:rsid w:val="00B002C5"/>
    <w:rsid w:val="00B00EAC"/>
    <w:rsid w:val="00B0517B"/>
    <w:rsid w:val="00B2097F"/>
    <w:rsid w:val="00B24610"/>
    <w:rsid w:val="00B30B37"/>
    <w:rsid w:val="00B312C8"/>
    <w:rsid w:val="00B60C12"/>
    <w:rsid w:val="00B71205"/>
    <w:rsid w:val="00B7353D"/>
    <w:rsid w:val="00B73595"/>
    <w:rsid w:val="00B74E06"/>
    <w:rsid w:val="00B77DEA"/>
    <w:rsid w:val="00BA1B34"/>
    <w:rsid w:val="00BA4A22"/>
    <w:rsid w:val="00BA612B"/>
    <w:rsid w:val="00BB7AC4"/>
    <w:rsid w:val="00BC3DEE"/>
    <w:rsid w:val="00BC4D20"/>
    <w:rsid w:val="00C0723D"/>
    <w:rsid w:val="00C245F2"/>
    <w:rsid w:val="00C42986"/>
    <w:rsid w:val="00C54852"/>
    <w:rsid w:val="00C94B54"/>
    <w:rsid w:val="00CA188F"/>
    <w:rsid w:val="00CB4A2C"/>
    <w:rsid w:val="00CC26B2"/>
    <w:rsid w:val="00CC3BD9"/>
    <w:rsid w:val="00CC6C5C"/>
    <w:rsid w:val="00CD54F4"/>
    <w:rsid w:val="00CE0FB9"/>
    <w:rsid w:val="00D1751B"/>
    <w:rsid w:val="00D43E8B"/>
    <w:rsid w:val="00D525D6"/>
    <w:rsid w:val="00D6246A"/>
    <w:rsid w:val="00D8179E"/>
    <w:rsid w:val="00D83AD8"/>
    <w:rsid w:val="00D85CEF"/>
    <w:rsid w:val="00D93C54"/>
    <w:rsid w:val="00D969AB"/>
    <w:rsid w:val="00DA0494"/>
    <w:rsid w:val="00DA6907"/>
    <w:rsid w:val="00DB388C"/>
    <w:rsid w:val="00DC54C3"/>
    <w:rsid w:val="00DC73D0"/>
    <w:rsid w:val="00DF0D62"/>
    <w:rsid w:val="00DF2DEB"/>
    <w:rsid w:val="00DF32DB"/>
    <w:rsid w:val="00E0153B"/>
    <w:rsid w:val="00E02AAC"/>
    <w:rsid w:val="00E0418E"/>
    <w:rsid w:val="00E34CDF"/>
    <w:rsid w:val="00E531EE"/>
    <w:rsid w:val="00E60404"/>
    <w:rsid w:val="00E8633D"/>
    <w:rsid w:val="00EC083E"/>
    <w:rsid w:val="00EC5E89"/>
    <w:rsid w:val="00ED0D08"/>
    <w:rsid w:val="00ED2CCC"/>
    <w:rsid w:val="00ED79A9"/>
    <w:rsid w:val="00F013B8"/>
    <w:rsid w:val="00F22421"/>
    <w:rsid w:val="00F645BE"/>
    <w:rsid w:val="00F85AEA"/>
    <w:rsid w:val="00F97615"/>
    <w:rsid w:val="00F977E6"/>
    <w:rsid w:val="00FA5EC8"/>
    <w:rsid w:val="00FB03C0"/>
    <w:rsid w:val="00FC6ED6"/>
    <w:rsid w:val="00FD7BA5"/>
    <w:rsid w:val="00FF506D"/>
    <w:rsid w:val="04B11019"/>
    <w:rsid w:val="05437CC1"/>
    <w:rsid w:val="07762772"/>
    <w:rsid w:val="09BF679B"/>
    <w:rsid w:val="0AB07EA4"/>
    <w:rsid w:val="0BFE4B3A"/>
    <w:rsid w:val="1D076D11"/>
    <w:rsid w:val="1D8648B3"/>
    <w:rsid w:val="2055491A"/>
    <w:rsid w:val="26403CB6"/>
    <w:rsid w:val="2A3B4498"/>
    <w:rsid w:val="2E182F2D"/>
    <w:rsid w:val="30AD7A4B"/>
    <w:rsid w:val="321235F2"/>
    <w:rsid w:val="38EB7C15"/>
    <w:rsid w:val="3B726E64"/>
    <w:rsid w:val="3BFF601A"/>
    <w:rsid w:val="45AB2704"/>
    <w:rsid w:val="470C093C"/>
    <w:rsid w:val="47340F98"/>
    <w:rsid w:val="488F15E0"/>
    <w:rsid w:val="4E687B7C"/>
    <w:rsid w:val="55465C58"/>
    <w:rsid w:val="59E051FD"/>
    <w:rsid w:val="5A6F3AD5"/>
    <w:rsid w:val="5CBD5A36"/>
    <w:rsid w:val="5FB0168A"/>
    <w:rsid w:val="67351BCF"/>
    <w:rsid w:val="6A8C2288"/>
    <w:rsid w:val="6C2658BA"/>
    <w:rsid w:val="79B356BB"/>
    <w:rsid w:val="7F0B6E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qFormat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8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9">
    <w:name w:val="纯文本 Char"/>
    <w:basedOn w:val="6"/>
    <w:link w:val="2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3</Pages>
  <Words>438</Words>
  <Characters>2503</Characters>
  <Lines>20</Lines>
  <Paragraphs>5</Paragraphs>
  <TotalTime>0</TotalTime>
  <ScaleCrop>false</ScaleCrop>
  <LinksUpToDate>false</LinksUpToDate>
  <CharactersWithSpaces>2936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2017-06-30T09:03:00Z</dcterms:created>
  <dc:creator>FreeUser</dc:creator>
  <cp:lastModifiedBy>TF-PC</cp:lastModifiedBy>
  <cp:lastPrinted>2017-10-11T00:02:00Z</cp:lastPrinted>
  <dcterms:modified xsi:type="dcterms:W3CDTF">2018-08-27T09:41:25Z</dcterms:modified>
  <dc:title>阅   卷  笔  录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