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jc w:val="center"/>
        <w:rPr>
          <w:rFonts w:ascii="仿宋_GB2312" w:eastAsia="宋体"/>
          <w:kern w:val="0"/>
          <w:sz w:val="44"/>
        </w:rPr>
      </w:pPr>
      <w:bookmarkStart w:id="0" w:name="_GoBack"/>
      <w:bookmarkEnd w:id="0"/>
      <w:r>
        <w:rPr>
          <w:rFonts w:hint="eastAsia" w:eastAsia="宋体"/>
          <w:kern w:val="0"/>
          <w:sz w:val="44"/>
        </w:rPr>
        <w:t>天津市和平区人民法院</w:t>
      </w:r>
    </w:p>
    <w:p>
      <w:pPr>
        <w:pStyle w:val="2"/>
        <w:spacing w:before="0" w:after="0"/>
        <w:jc w:val="center"/>
        <w:rPr>
          <w:rFonts w:ascii="仿宋_GB2312" w:eastAsia="仿宋_GB2312"/>
          <w:kern w:val="0"/>
          <w:sz w:val="52"/>
          <w:szCs w:val="32"/>
        </w:rPr>
      </w:pPr>
      <w:r>
        <w:rPr>
          <w:rFonts w:hint="eastAsia"/>
          <w:kern w:val="0"/>
          <w:sz w:val="52"/>
        </w:rPr>
        <w:t>刑事判决书</w:t>
      </w:r>
    </w:p>
    <w:p>
      <w:pPr>
        <w:autoSpaceDE w:val="0"/>
        <w:autoSpaceDN w:val="0"/>
        <w:adjustRightInd w:val="0"/>
        <w:spacing w:line="440" w:lineRule="exact"/>
        <w:jc w:val="left"/>
        <w:rPr>
          <w:rFonts w:ascii="仿宋_GB2312" w:hAnsi="MS Sans Serif" w:eastAsia="仿宋_GB2312"/>
          <w:kern w:val="0"/>
          <w:sz w:val="32"/>
          <w:szCs w:val="32"/>
        </w:rPr>
      </w:pPr>
    </w:p>
    <w:p>
      <w:pPr>
        <w:autoSpaceDE w:val="0"/>
        <w:autoSpaceDN w:val="0"/>
        <w:adjustRightInd w:val="0"/>
        <w:spacing w:line="440" w:lineRule="exact"/>
        <w:jc w:val="right"/>
        <w:rPr>
          <w:rFonts w:ascii="仿宋_GB2312" w:hAnsi="MS Sans Serif" w:eastAsia="仿宋_GB2312"/>
          <w:kern w:val="0"/>
          <w:sz w:val="32"/>
          <w:szCs w:val="32"/>
        </w:rPr>
      </w:pPr>
      <w:r>
        <w:rPr>
          <w:rFonts w:hint="eastAsia" w:ascii="仿宋_GB2312" w:hAnsi="MS Sans Serif" w:eastAsia="仿宋_GB2312"/>
          <w:kern w:val="0"/>
          <w:sz w:val="32"/>
          <w:szCs w:val="32"/>
        </w:rPr>
        <w:t>（</w:t>
      </w:r>
      <w:r>
        <w:rPr>
          <w:rFonts w:ascii="仿宋_GB2312" w:hAnsi="MS Sans Serif" w:eastAsia="仿宋_GB2312"/>
          <w:kern w:val="0"/>
          <w:sz w:val="32"/>
          <w:szCs w:val="32"/>
        </w:rPr>
        <w:t>201</w:t>
      </w:r>
      <w:r>
        <w:rPr>
          <w:rFonts w:hint="eastAsia" w:ascii="仿宋_GB2312" w:hAnsi="MS Sans Serif" w:eastAsia="仿宋_GB2312"/>
          <w:kern w:val="0"/>
          <w:sz w:val="32"/>
          <w:szCs w:val="32"/>
        </w:rPr>
        <w:t>7）津0101刑初152号</w:t>
      </w:r>
    </w:p>
    <w:p>
      <w:pPr>
        <w:autoSpaceDE w:val="0"/>
        <w:autoSpaceDN w:val="0"/>
        <w:adjustRightInd w:val="0"/>
        <w:spacing w:line="440" w:lineRule="exact"/>
        <w:jc w:val="right"/>
        <w:rPr>
          <w:rFonts w:ascii="仿宋_GB2312" w:hAnsi="MS Sans Serif" w:eastAsia="仿宋_GB2312"/>
          <w:b/>
          <w:bCs/>
          <w:kern w:val="0"/>
          <w:sz w:val="32"/>
          <w:szCs w:val="32"/>
        </w:rPr>
      </w:pPr>
    </w:p>
    <w:p>
      <w:pPr>
        <w:autoSpaceDE w:val="0"/>
        <w:autoSpaceDN w:val="0"/>
        <w:adjustRightInd w:val="0"/>
        <w:spacing w:line="540" w:lineRule="exact"/>
        <w:ind w:firstLine="640" w:firstLineChars="200"/>
        <w:jc w:val="left"/>
        <w:rPr>
          <w:rFonts w:ascii="仿宋_GB2312" w:hAnsi="MS Sans Serif" w:eastAsia="仿宋_GB2312"/>
          <w:kern w:val="0"/>
          <w:sz w:val="32"/>
          <w:szCs w:val="32"/>
        </w:rPr>
      </w:pPr>
      <w:r>
        <w:rPr>
          <w:rFonts w:hint="eastAsia" w:ascii="仿宋_GB2312" w:hAnsi="MS Sans Serif" w:eastAsia="仿宋_GB2312"/>
          <w:kern w:val="0"/>
          <w:sz w:val="32"/>
          <w:szCs w:val="32"/>
        </w:rPr>
        <w:t>公诉机关天津市和平区人民检察院。</w:t>
      </w:r>
    </w:p>
    <w:p>
      <w:pPr>
        <w:autoSpaceDE w:val="0"/>
        <w:autoSpaceDN w:val="0"/>
        <w:adjustRightInd w:val="0"/>
        <w:spacing w:line="540" w:lineRule="exact"/>
        <w:ind w:firstLine="640" w:firstLineChars="200"/>
        <w:rPr>
          <w:rFonts w:ascii="仿宋_GB2312" w:hAnsi="MS Sans Serif" w:eastAsia="仿宋_GB2312"/>
          <w:kern w:val="0"/>
          <w:sz w:val="32"/>
          <w:szCs w:val="32"/>
        </w:rPr>
      </w:pPr>
      <w:r>
        <w:rPr>
          <w:rFonts w:hint="eastAsia" w:ascii="仿宋_GB2312" w:hAnsi="MS Sans Serif" w:eastAsia="仿宋_GB2312"/>
          <w:kern w:val="0"/>
          <w:sz w:val="32"/>
          <w:szCs w:val="32"/>
        </w:rPr>
        <w:t>被告人李明瑞，男，1975年6月29日出生于天津市，汉族，初中一年文化，个体经营者，租住天津市滨海新区大港区石化路荣华里6号楼1单元201号，户籍地天津市滨海新区大港区小王庄镇沈清庄村荣</w:t>
      </w:r>
      <w:r>
        <w:rPr>
          <w:rFonts w:hint="eastAsia" w:ascii="宋体" w:hAnsi="宋体" w:cs="宋体"/>
          <w:kern w:val="0"/>
          <w:sz w:val="32"/>
          <w:szCs w:val="32"/>
        </w:rPr>
        <w:t>昇</w:t>
      </w:r>
      <w:r>
        <w:rPr>
          <w:rFonts w:hint="eastAsia" w:ascii="仿宋_GB2312" w:hAnsi="MS Sans Serif" w:eastAsia="仿宋_GB2312"/>
          <w:kern w:val="0"/>
          <w:sz w:val="32"/>
          <w:szCs w:val="32"/>
        </w:rPr>
        <w:t>街12号。因本案于2016年8月6日被刑事拘留，2016年8月12日被取保候审，2017年5月22日被逮捕，现羁押于天津市和平区看守所。</w:t>
      </w:r>
    </w:p>
    <w:p>
      <w:pPr>
        <w:autoSpaceDE w:val="0"/>
        <w:autoSpaceDN w:val="0"/>
        <w:adjustRightInd w:val="0"/>
        <w:spacing w:line="540" w:lineRule="exact"/>
        <w:ind w:firstLine="640" w:firstLineChars="200"/>
        <w:rPr>
          <w:rFonts w:ascii="仿宋_GB2312" w:hAnsi="MS Sans Serif" w:eastAsia="仿宋_GB2312"/>
          <w:kern w:val="0"/>
          <w:sz w:val="32"/>
          <w:szCs w:val="32"/>
        </w:rPr>
      </w:pPr>
      <w:r>
        <w:rPr>
          <w:rFonts w:hint="eastAsia" w:ascii="仿宋_GB2312" w:hAnsi="MS Sans Serif" w:eastAsia="仿宋_GB2312"/>
          <w:kern w:val="0"/>
          <w:sz w:val="32"/>
          <w:szCs w:val="32"/>
        </w:rPr>
        <w:t>天津市和平区人民检察院以津和检公诉刑诉[2017]162号起诉书指控被告人李明瑞犯信用卡诈骗罪，于2017年4月11日向本院提起公诉。本院依法适用简易程序，依法组成合议庭，公开开庭进行了审理。天津市和平区人民检察院指派代理检察员李燕凌出庭支持公诉。被告人李明瑞到庭参加诉讼。现已审理终结。</w:t>
      </w:r>
    </w:p>
    <w:p>
      <w:pPr>
        <w:autoSpaceDE w:val="0"/>
        <w:autoSpaceDN w:val="0"/>
        <w:adjustRightInd w:val="0"/>
        <w:spacing w:line="540" w:lineRule="exact"/>
        <w:ind w:firstLine="640" w:firstLineChars="200"/>
        <w:rPr>
          <w:rFonts w:ascii="仿宋_GB2312" w:hAnsi="MS Sans Serif" w:eastAsia="仿宋_GB2312"/>
          <w:kern w:val="0"/>
          <w:sz w:val="32"/>
          <w:szCs w:val="32"/>
        </w:rPr>
      </w:pPr>
      <w:r>
        <w:rPr>
          <w:rFonts w:hint="eastAsia" w:ascii="仿宋_GB2312" w:hAnsi="MS Sans Serif" w:eastAsia="仿宋_GB2312"/>
          <w:kern w:val="0"/>
          <w:sz w:val="32"/>
          <w:szCs w:val="32"/>
        </w:rPr>
        <w:t>天津市和平区人民检察院指控，2012年4月间，被告人李明瑞在中国光大银行股份有限公司天津分行申领卡号为4816……8925的“阳光商旅”白金信用卡。后经开卡使用，截至2016年7月，被告人李明瑞共计透支信用卡内本金41727.46元，本息合计43019.64元。经发卡银行多次催收，被告人李明瑞超过三个月仍未归还。经被害单位报案，公安机关于2016年8月5日将被告人李明瑞抓获归案。到案后，被告人李明瑞家属已代其退缴全部透支本息。</w:t>
      </w:r>
    </w:p>
    <w:p>
      <w:pPr>
        <w:autoSpaceDE w:val="0"/>
        <w:autoSpaceDN w:val="0"/>
        <w:adjustRightInd w:val="0"/>
        <w:spacing w:line="540" w:lineRule="exact"/>
        <w:ind w:firstLine="640" w:firstLineChars="200"/>
        <w:rPr>
          <w:rFonts w:ascii="仿宋_GB2312" w:hAnsi="MS Sans Serif" w:eastAsia="仿宋_GB2312"/>
          <w:kern w:val="0"/>
          <w:sz w:val="32"/>
          <w:szCs w:val="32"/>
        </w:rPr>
      </w:pPr>
      <w:r>
        <w:rPr>
          <w:rFonts w:hint="eastAsia" w:ascii="仿宋_GB2312" w:hAnsi="MS Sans Serif" w:eastAsia="仿宋_GB2312"/>
          <w:kern w:val="0"/>
          <w:sz w:val="32"/>
          <w:szCs w:val="32"/>
        </w:rPr>
        <w:t>公诉机关认为被告人李明瑞的行为已构成信用卡诈骗罪，</w:t>
      </w:r>
      <w:r>
        <w:rPr>
          <w:rFonts w:hint="eastAsia" w:ascii="仿宋_GB2312" w:hAnsi="仿宋_GB2312" w:eastAsia="仿宋_GB2312"/>
          <w:kern w:val="0"/>
          <w:sz w:val="32"/>
          <w:szCs w:val="32"/>
        </w:rPr>
        <w:t>其能如实供述自己的罪行，并退缴全部透支款息，</w:t>
      </w:r>
      <w:r>
        <w:rPr>
          <w:rFonts w:hint="eastAsia" w:ascii="仿宋_GB2312" w:hAnsi="MS Sans Serif" w:eastAsia="仿宋_GB2312"/>
          <w:kern w:val="0"/>
          <w:sz w:val="32"/>
          <w:szCs w:val="32"/>
        </w:rPr>
        <w:t>建议判处其有期徒刑一年至二年，并处罚金。如果经考察符合社区矫正条件，可以对其适用缓刑。为支持指控，当庭宣读、出示了相关证据。</w:t>
      </w:r>
    </w:p>
    <w:p>
      <w:pPr>
        <w:pStyle w:val="9"/>
        <w:spacing w:line="540" w:lineRule="exact"/>
        <w:ind w:firstLine="640"/>
        <w:rPr>
          <w:spacing w:val="0"/>
        </w:rPr>
      </w:pPr>
      <w:r>
        <w:rPr>
          <w:rFonts w:hint="eastAsia"/>
          <w:spacing w:val="0"/>
        </w:rPr>
        <w:t>上述事实，被告人李明瑞在开庭审理过程中亦无异议，且有被害单位委托代理人许澎的陈述、证人郑伟的证言、授权委托书、报案材料、信用卡申请表、身份证复印件、收入证明、说明、市场主体信息查询，证实被告人李明瑞在光大银行申领信用卡的事实，被告人在申领信用卡时填写的单位电话以及年收入有虚假成分；有银行交易明细清单、账单、还款冲抵说明、信用卡卡额度及账单还款日说明，证实被告人李明瑞使用信用卡造成欠费的情况；催收记录、入户催收的照片，证实被害单位在2013年5月至2016年7月多次对被告人进行催收；有证人贾冰静的证言、信用卡业务回单，证实被告人家属代为退缴全部款息的事实；以及案件来源、抓获经过、常住人口信息表、刑事判决书等证据证实，足以认定。</w:t>
      </w:r>
    </w:p>
    <w:p>
      <w:pPr>
        <w:spacing w:line="540" w:lineRule="exact"/>
        <w:ind w:firstLine="640" w:firstLineChars="200"/>
        <w:rPr>
          <w:rFonts w:ascii="仿宋_GB2312" w:hAnsi="仿宋_GB2312" w:eastAsia="仿宋_GB2312"/>
          <w:kern w:val="0"/>
          <w:sz w:val="32"/>
          <w:szCs w:val="32"/>
        </w:rPr>
      </w:pPr>
      <w:r>
        <w:rPr>
          <w:rFonts w:hint="eastAsia" w:ascii="仿宋_GB2312" w:hAnsi="仿宋_GB2312" w:eastAsia="仿宋_GB2312"/>
          <w:kern w:val="0"/>
          <w:sz w:val="32"/>
          <w:szCs w:val="32"/>
        </w:rPr>
        <w:t>本院认为，被告人李明瑞以非法占有为目的，恶意透支，进行信用卡诈骗活动，且数额较大，其行为已构成信用卡诈骗罪。起诉书指控的事实清楚，证据充分，罪名成立，本院予以支持。公诉人发表的被告人李明瑞具有如实供述、退缴全部透支款息的量刑情节，客观有据，本院予以采纳，同时考虑被告人李明瑞亦能认罪认罚，对其从轻处罚，但被告人李明瑞曾因保险诈骗被判刑，且不具备社区矫正条件，故不同意对被告人李明瑞适用缓刑。据此，依照《中华人民共和国刑法》第一百九十六条第一款第（四）项、第六十七条第三款、最高人民法院、最高人民检察院</w:t>
      </w:r>
      <w:r>
        <w:rPr>
          <w:rFonts w:hint="eastAsia" w:ascii="仿宋_GB2312" w:hAnsi="宋体" w:eastAsia="仿宋_GB2312" w:cs="宋体"/>
          <w:color w:val="000000"/>
          <w:kern w:val="0"/>
          <w:sz w:val="32"/>
          <w:szCs w:val="32"/>
        </w:rPr>
        <w:t>《关于办理妨害信用卡管理刑事案件具体应用法律若干问题的解释》第六条</w:t>
      </w:r>
      <w:r>
        <w:rPr>
          <w:rFonts w:hint="eastAsia" w:ascii="仿宋_GB2312" w:hAnsi="仿宋_GB2312" w:eastAsia="仿宋_GB2312"/>
          <w:kern w:val="0"/>
          <w:sz w:val="32"/>
          <w:szCs w:val="32"/>
        </w:rPr>
        <w:t>之规定，判决如下：</w:t>
      </w:r>
    </w:p>
    <w:p>
      <w:pPr>
        <w:pStyle w:val="4"/>
        <w:spacing w:line="540" w:lineRule="exact"/>
        <w:ind w:firstLine="640"/>
        <w:jc w:val="both"/>
        <w:rPr>
          <w:spacing w:val="0"/>
        </w:rPr>
      </w:pPr>
      <w:r>
        <w:rPr>
          <w:rFonts w:hint="eastAsia"/>
          <w:spacing w:val="0"/>
        </w:rPr>
        <w:t>被告人李明瑞犯信用卡诈骗罪，判处有期徒刑八个月，并处罚金20000元。</w:t>
      </w:r>
    </w:p>
    <w:p>
      <w:pPr>
        <w:pStyle w:val="4"/>
        <w:ind w:firstLine="640"/>
        <w:jc w:val="both"/>
        <w:rPr>
          <w:spacing w:val="0"/>
        </w:rPr>
      </w:pPr>
      <w:r>
        <w:rPr>
          <w:rFonts w:hint="eastAsia"/>
          <w:spacing w:val="0"/>
        </w:rPr>
        <w:t>（刑期从判决执行之日起计算。判决前先行羁押的，羁押一日折抵刑期一日。即折抵8天，自2017年5月22日起至2018年1月13日止。</w:t>
      </w:r>
      <w:r>
        <w:rPr>
          <w:rFonts w:hint="eastAsia"/>
          <w:spacing w:val="8"/>
        </w:rPr>
        <w:t>罚金自判决生效后三个月内缴纳</w:t>
      </w:r>
      <w:r>
        <w:rPr>
          <w:rFonts w:hint="eastAsia"/>
          <w:spacing w:val="0"/>
        </w:rPr>
        <w:t>）</w:t>
      </w:r>
    </w:p>
    <w:p>
      <w:pPr>
        <w:pStyle w:val="9"/>
        <w:spacing w:line="540" w:lineRule="exact"/>
        <w:ind w:firstLine="640"/>
        <w:rPr>
          <w:spacing w:val="0"/>
        </w:rPr>
      </w:pPr>
      <w:r>
        <w:rPr>
          <w:rFonts w:hint="eastAsia"/>
          <w:spacing w:val="0"/>
        </w:rPr>
        <w:t>如不服本判决，可在接到本判决书的第二日起十日内，通过本院或者直接向天津市第一中级人民法院提出上诉。书面上诉的，应当提交上诉状正本一份，副本一份。</w:t>
      </w:r>
    </w:p>
    <w:p>
      <w:pPr>
        <w:autoSpaceDE w:val="0"/>
        <w:autoSpaceDN w:val="0"/>
        <w:adjustRightInd w:val="0"/>
        <w:spacing w:line="480" w:lineRule="exact"/>
        <w:rPr>
          <w:rFonts w:ascii="仿宋_GB2312" w:hAnsi="MS Sans Serif" w:eastAsia="仿宋_GB2312"/>
          <w:color w:val="000000"/>
          <w:spacing w:val="8"/>
          <w:kern w:val="0"/>
          <w:sz w:val="32"/>
          <w:szCs w:val="32"/>
        </w:rPr>
      </w:pPr>
    </w:p>
    <w:p>
      <w:pPr>
        <w:autoSpaceDE w:val="0"/>
        <w:autoSpaceDN w:val="0"/>
        <w:adjustRightInd w:val="0"/>
        <w:spacing w:line="480" w:lineRule="exact"/>
        <w:rPr>
          <w:rFonts w:ascii="仿宋_GB2312" w:hAnsi="MS Sans Serif" w:eastAsia="仿宋_GB2312"/>
          <w:color w:val="000000"/>
          <w:spacing w:val="8"/>
          <w:kern w:val="0"/>
          <w:sz w:val="32"/>
          <w:szCs w:val="32"/>
        </w:rPr>
      </w:pPr>
    </w:p>
    <w:p>
      <w:pPr>
        <w:autoSpaceDE w:val="0"/>
        <w:autoSpaceDN w:val="0"/>
        <w:adjustRightInd w:val="0"/>
        <w:spacing w:line="480" w:lineRule="exact"/>
        <w:rPr>
          <w:rFonts w:ascii="仿宋_GB2312" w:hAnsi="MS Sans Serif" w:eastAsia="仿宋_GB2312"/>
          <w:color w:val="000000"/>
          <w:spacing w:val="8"/>
          <w:kern w:val="0"/>
          <w:sz w:val="32"/>
          <w:szCs w:val="32"/>
        </w:rPr>
      </w:pPr>
    </w:p>
    <w:p>
      <w:pPr>
        <w:autoSpaceDE w:val="0"/>
        <w:autoSpaceDN w:val="0"/>
        <w:adjustRightInd w:val="0"/>
        <w:spacing w:line="480" w:lineRule="exact"/>
        <w:rPr>
          <w:rFonts w:ascii="仿宋_GB2312" w:hAnsi="MS Sans Serif" w:eastAsia="仿宋_GB2312"/>
          <w:color w:val="000000"/>
          <w:spacing w:val="8"/>
          <w:kern w:val="0"/>
          <w:sz w:val="32"/>
          <w:szCs w:val="32"/>
        </w:rPr>
      </w:pPr>
    </w:p>
    <w:p>
      <w:pPr>
        <w:autoSpaceDE w:val="0"/>
        <w:autoSpaceDN w:val="0"/>
        <w:adjustRightInd w:val="0"/>
        <w:spacing w:line="480" w:lineRule="exact"/>
        <w:jc w:val="right"/>
        <w:rPr>
          <w:rFonts w:hint="eastAsia" w:ascii="仿宋_GB2312" w:hAnsi="MS Sans Serif" w:eastAsia="仿宋_GB2312"/>
          <w:color w:val="000000"/>
          <w:spacing w:val="8"/>
          <w:kern w:val="0"/>
          <w:sz w:val="32"/>
          <w:szCs w:val="32"/>
        </w:rPr>
      </w:pPr>
      <w:r>
        <w:rPr>
          <w:rFonts w:hint="eastAsia" w:ascii="仿宋_GB2312" w:hAnsi="MS Sans Serif" w:eastAsia="仿宋_GB2312"/>
          <w:color w:val="000000"/>
          <w:spacing w:val="8"/>
          <w:kern w:val="0"/>
          <w:sz w:val="32"/>
          <w:szCs w:val="32"/>
        </w:rPr>
        <w:t>审  判  长  高秀君</w:t>
      </w:r>
    </w:p>
    <w:p>
      <w:pPr>
        <w:autoSpaceDE w:val="0"/>
        <w:autoSpaceDN w:val="0"/>
        <w:adjustRightInd w:val="0"/>
        <w:spacing w:line="480" w:lineRule="exact"/>
        <w:jc w:val="right"/>
        <w:rPr>
          <w:rFonts w:hint="eastAsia" w:ascii="仿宋_GB2312" w:hAnsi="MS Sans Serif" w:eastAsia="仿宋_GB2312"/>
          <w:color w:val="000000"/>
          <w:spacing w:val="8"/>
          <w:kern w:val="0"/>
          <w:sz w:val="32"/>
          <w:szCs w:val="32"/>
        </w:rPr>
      </w:pPr>
      <w:r>
        <w:rPr>
          <w:rFonts w:hint="eastAsia" w:ascii="仿宋_GB2312" w:hAnsi="MS Sans Serif" w:eastAsia="仿宋_GB2312"/>
          <w:color w:val="000000"/>
          <w:spacing w:val="8"/>
          <w:kern w:val="0"/>
          <w:sz w:val="32"/>
          <w:szCs w:val="32"/>
        </w:rPr>
        <w:t>代理审判员  王乐文</w:t>
      </w:r>
    </w:p>
    <w:p>
      <w:pPr>
        <w:autoSpaceDE w:val="0"/>
        <w:autoSpaceDN w:val="0"/>
        <w:adjustRightInd w:val="0"/>
        <w:spacing w:line="480" w:lineRule="exact"/>
        <w:jc w:val="right"/>
        <w:rPr>
          <w:rFonts w:ascii="仿宋_GB2312" w:hAnsi="MS Sans Serif" w:eastAsia="仿宋_GB2312"/>
          <w:color w:val="000000"/>
          <w:spacing w:val="8"/>
          <w:kern w:val="0"/>
          <w:sz w:val="32"/>
          <w:szCs w:val="32"/>
        </w:rPr>
      </w:pPr>
      <w:r>
        <w:rPr>
          <w:rFonts w:hint="eastAsia" w:ascii="仿宋_GB2312" w:hAnsi="MS Sans Serif" w:eastAsia="仿宋_GB2312"/>
          <w:color w:val="000000"/>
          <w:spacing w:val="8"/>
          <w:kern w:val="0"/>
          <w:sz w:val="32"/>
          <w:szCs w:val="32"/>
        </w:rPr>
        <w:t>人民陪审员  赵  扬</w:t>
      </w:r>
    </w:p>
    <w:p>
      <w:pPr>
        <w:autoSpaceDE w:val="0"/>
        <w:autoSpaceDN w:val="0"/>
        <w:adjustRightInd w:val="0"/>
        <w:spacing w:line="480" w:lineRule="exact"/>
        <w:jc w:val="right"/>
        <w:rPr>
          <w:rFonts w:ascii="仿宋_GB2312" w:hAnsi="MS Sans Serif" w:eastAsia="仿宋_GB2312"/>
          <w:color w:val="000000"/>
          <w:spacing w:val="8"/>
          <w:kern w:val="0"/>
          <w:sz w:val="32"/>
          <w:szCs w:val="32"/>
        </w:rPr>
      </w:pPr>
    </w:p>
    <w:p>
      <w:pPr>
        <w:autoSpaceDE w:val="0"/>
        <w:autoSpaceDN w:val="0"/>
        <w:adjustRightInd w:val="0"/>
        <w:spacing w:line="480" w:lineRule="exact"/>
        <w:jc w:val="right"/>
        <w:rPr>
          <w:rFonts w:ascii="仿宋_GB2312" w:hAnsi="MS Sans Serif" w:eastAsia="仿宋_GB2312"/>
          <w:color w:val="000000"/>
          <w:spacing w:val="8"/>
          <w:kern w:val="0"/>
          <w:sz w:val="32"/>
          <w:szCs w:val="32"/>
        </w:rPr>
      </w:pPr>
    </w:p>
    <w:p>
      <w:pPr>
        <w:autoSpaceDE w:val="0"/>
        <w:autoSpaceDN w:val="0"/>
        <w:adjustRightInd w:val="0"/>
        <w:spacing w:line="480" w:lineRule="exact"/>
        <w:jc w:val="right"/>
        <w:rPr>
          <w:rFonts w:ascii="仿宋_GB2312" w:hAnsi="MS Sans Serif" w:eastAsia="仿宋_GB2312"/>
          <w:color w:val="000000"/>
          <w:spacing w:val="8"/>
          <w:kern w:val="0"/>
          <w:sz w:val="32"/>
          <w:szCs w:val="32"/>
        </w:rPr>
      </w:pPr>
    </w:p>
    <w:p>
      <w:pPr>
        <w:pStyle w:val="5"/>
        <w:wordWrap w:val="0"/>
        <w:spacing w:line="480" w:lineRule="exact"/>
        <w:ind w:left="0" w:leftChars="0"/>
        <w:jc w:val="right"/>
        <w:rPr>
          <w:color w:val="000000"/>
          <w:spacing w:val="8"/>
        </w:rPr>
      </w:pPr>
      <w:r>
        <w:rPr>
          <w:rFonts w:hint="eastAsia"/>
          <w:color w:val="000000"/>
          <w:spacing w:val="8"/>
        </w:rPr>
        <w:t xml:space="preserve"> 二○一七年五月二十三日</w:t>
      </w:r>
    </w:p>
    <w:p>
      <w:pPr>
        <w:spacing w:line="480" w:lineRule="exact"/>
        <w:rPr>
          <w:spacing w:val="8"/>
        </w:rPr>
      </w:pPr>
    </w:p>
    <w:p>
      <w:pPr>
        <w:tabs>
          <w:tab w:val="left" w:pos="5245"/>
        </w:tabs>
        <w:wordWrap w:val="0"/>
        <w:autoSpaceDE w:val="0"/>
        <w:autoSpaceDN w:val="0"/>
        <w:adjustRightInd w:val="0"/>
        <w:spacing w:line="480" w:lineRule="exact"/>
        <w:jc w:val="right"/>
        <w:rPr>
          <w:rFonts w:ascii="仿宋_GB2312" w:hAnsi="MS Sans Serif" w:eastAsia="仿宋_GB2312"/>
          <w:kern w:val="0"/>
          <w:sz w:val="32"/>
          <w:szCs w:val="32"/>
        </w:rPr>
      </w:pPr>
      <w:r>
        <w:rPr>
          <w:rFonts w:hint="eastAsia" w:ascii="仿宋_GB2312" w:hAnsi="MS Sans Serif" w:eastAsia="仿宋_GB2312"/>
          <w:color w:val="000000"/>
          <w:spacing w:val="8"/>
          <w:kern w:val="0"/>
          <w:sz w:val="32"/>
          <w:szCs w:val="32"/>
        </w:rPr>
        <w:t xml:space="preserve">书记员  </w:t>
      </w:r>
      <w:r>
        <w:rPr>
          <w:rFonts w:hint="eastAsia" w:ascii="仿宋_GB2312" w:hAnsi="MS Sans Serif" w:eastAsia="仿宋_GB2312"/>
          <w:kern w:val="0"/>
          <w:sz w:val="32"/>
          <w:szCs w:val="32"/>
        </w:rPr>
        <w:t>崔明程</w:t>
      </w:r>
    </w:p>
    <w:p>
      <w:pPr>
        <w:autoSpaceDE w:val="0"/>
        <w:autoSpaceDN w:val="0"/>
        <w:adjustRightInd w:val="0"/>
        <w:spacing w:line="520" w:lineRule="exact"/>
        <w:ind w:right="437" w:rightChars="208"/>
        <w:rPr>
          <w:rFonts w:ascii="仿宋_GB2312" w:eastAsia="仿宋_GB2312"/>
          <w:kern w:val="0"/>
          <w:sz w:val="32"/>
          <w:szCs w:val="32"/>
        </w:rPr>
      </w:pPr>
      <w:r>
        <w:rPr>
          <w:rFonts w:hint="eastAsia" w:ascii="仿宋_GB2312" w:eastAsia="仿宋_GB2312"/>
          <w:kern w:val="0"/>
          <w:sz w:val="32"/>
          <w:szCs w:val="32"/>
        </w:rPr>
        <w:t>附：本裁判文书所依据法律规定的具体条文</w:t>
      </w:r>
    </w:p>
    <w:p>
      <w:pPr>
        <w:autoSpaceDE w:val="0"/>
        <w:autoSpaceDN w:val="0"/>
        <w:adjustRightInd w:val="0"/>
        <w:spacing w:line="460" w:lineRule="exact"/>
        <w:ind w:right="-86" w:rightChars="-41" w:firstLine="640" w:firstLineChars="200"/>
        <w:rPr>
          <w:rFonts w:ascii="仿宋_GB2312" w:hAnsi="宋体" w:eastAsia="仿宋_GB2312" w:cs="宋体"/>
          <w:color w:val="000000"/>
          <w:kern w:val="0"/>
          <w:sz w:val="32"/>
          <w:szCs w:val="32"/>
        </w:rPr>
      </w:pPr>
      <w:r>
        <w:rPr>
          <w:rFonts w:hint="eastAsia" w:ascii="仿宋_GB2312" w:hAnsi="宋体" w:eastAsia="仿宋_GB2312" w:cs="宋体"/>
          <w:bCs/>
          <w:smallCaps/>
          <w:color w:val="000000"/>
          <w:kern w:val="0"/>
          <w:sz w:val="32"/>
          <w:szCs w:val="32"/>
        </w:rPr>
        <w:t xml:space="preserve">《中华人民共和国刑法》第一百九十六条    </w:t>
      </w:r>
      <w:r>
        <w:rPr>
          <w:rFonts w:hint="eastAsia" w:ascii="仿宋_GB2312" w:hAnsi="宋体" w:eastAsia="仿宋_GB2312" w:cs="宋体"/>
          <w:color w:val="000000"/>
          <w:kern w:val="0"/>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tabs>
          <w:tab w:val="left" w:pos="8295"/>
        </w:tabs>
        <w:autoSpaceDE w:val="0"/>
        <w:autoSpaceDN w:val="0"/>
        <w:adjustRightInd w:val="0"/>
        <w:spacing w:line="460" w:lineRule="exact"/>
        <w:ind w:right="17" w:rightChars="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（一）使用伪造的信用卡，或者使用以虚假的身份证明骗领的信用卡的；</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（二）使用作废的信用卡的；</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（三）冒用他人信用卡的；</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（四）恶意透支的。</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前款所称恶意透支，是指持卡人以非法占有为目的，超过规定限额或者规定期限透支，并且经发卡银行催收后仍不归还的行为。</w:t>
      </w:r>
    </w:p>
    <w:p>
      <w:pPr>
        <w:tabs>
          <w:tab w:val="left" w:pos="8295"/>
        </w:tabs>
        <w:autoSpaceDE w:val="0"/>
        <w:autoSpaceDN w:val="0"/>
        <w:adjustRightInd w:val="0"/>
        <w:spacing w:line="460" w:lineRule="exact"/>
        <w:ind w:right="17" w:rightChars="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第六十七条第三款  犯罪嫌疑人虽不具有前两款规定的自首情节，但是如实供述自己罪行的，可以从轻处罚；因其如实供述自己罪行，避免特别严重后果发生的，可以减轻处罚。</w:t>
      </w:r>
    </w:p>
    <w:p>
      <w:pPr>
        <w:tabs>
          <w:tab w:val="left" w:pos="8295"/>
        </w:tabs>
        <w:autoSpaceDE w:val="0"/>
        <w:autoSpaceDN w:val="0"/>
        <w:adjustRightInd w:val="0"/>
        <w:spacing w:line="460" w:lineRule="exact"/>
        <w:ind w:right="17" w:rightChars="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《最高人民法院、最高人民检察院关于办理妨害信用卡管理刑事案件具体应用法律若干问题的解释》第六条 持卡人以非法占有为目的，超过规定限额或者规定期限透支，并且经发卡银行两次催收后超过3个月仍不归还的，应当认定为刑法第一百九十六条规定的“恶意透支”。 </w:t>
      </w:r>
    </w:p>
    <w:p>
      <w:pPr>
        <w:autoSpaceDE w:val="0"/>
        <w:autoSpaceDN w:val="0"/>
        <w:adjustRightInd w:val="0"/>
        <w:spacing w:line="460" w:lineRule="exact"/>
        <w:ind w:right="-86" w:rightChars="-41"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有以下情形之一的，应当认定为刑法第一百九十六条第二款规定的“以非法占有为目的”： </w:t>
      </w:r>
    </w:p>
    <w:p>
      <w:pPr>
        <w:autoSpaceDE w:val="0"/>
        <w:autoSpaceDN w:val="0"/>
        <w:adjustRightInd w:val="0"/>
        <w:spacing w:line="460" w:lineRule="exact"/>
        <w:ind w:right="122" w:rightChars="5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（一）明知没有还款能力而大量透支，无法归还的； </w:t>
      </w:r>
    </w:p>
    <w:p>
      <w:pPr>
        <w:autoSpaceDE w:val="0"/>
        <w:autoSpaceDN w:val="0"/>
        <w:adjustRightInd w:val="0"/>
        <w:spacing w:line="460" w:lineRule="exact"/>
        <w:ind w:right="122" w:rightChars="5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（二）肆意挥霍透支的资金，无法归还的； </w:t>
      </w:r>
    </w:p>
    <w:p>
      <w:pPr>
        <w:autoSpaceDE w:val="0"/>
        <w:autoSpaceDN w:val="0"/>
        <w:adjustRightInd w:val="0"/>
        <w:spacing w:line="460" w:lineRule="exact"/>
        <w:ind w:right="122" w:rightChars="5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（三）透支后逃匿、改变联系方式，逃避银行催收的； </w:t>
      </w:r>
    </w:p>
    <w:p>
      <w:pPr>
        <w:autoSpaceDE w:val="0"/>
        <w:autoSpaceDN w:val="0"/>
        <w:adjustRightInd w:val="0"/>
        <w:spacing w:line="460" w:lineRule="exact"/>
        <w:ind w:right="122" w:rightChars="5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（四）抽逃、转移资金，隐匿财产，逃避还款的； </w:t>
      </w:r>
    </w:p>
    <w:p>
      <w:pPr>
        <w:autoSpaceDE w:val="0"/>
        <w:autoSpaceDN w:val="0"/>
        <w:adjustRightInd w:val="0"/>
        <w:spacing w:line="460" w:lineRule="exact"/>
        <w:ind w:right="122" w:rightChars="5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（五）使用透支的资金进行违法犯罪活动的； </w:t>
      </w:r>
    </w:p>
    <w:p>
      <w:pPr>
        <w:autoSpaceDE w:val="0"/>
        <w:autoSpaceDN w:val="0"/>
        <w:adjustRightInd w:val="0"/>
        <w:spacing w:line="460" w:lineRule="exact"/>
        <w:ind w:right="122" w:rightChars="5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（六）其他非法占有资金，拒不归还的行为。 </w:t>
      </w:r>
    </w:p>
    <w:p>
      <w:pPr>
        <w:autoSpaceDE w:val="0"/>
        <w:autoSpaceDN w:val="0"/>
        <w:adjustRightInd w:val="0"/>
        <w:spacing w:line="460" w:lineRule="exact"/>
        <w:ind w:right="122" w:rightChars="5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 </w:t>
      </w:r>
    </w:p>
    <w:p>
      <w:pPr>
        <w:autoSpaceDE w:val="0"/>
        <w:autoSpaceDN w:val="0"/>
        <w:adjustRightInd w:val="0"/>
        <w:spacing w:line="460" w:lineRule="exact"/>
        <w:ind w:right="122" w:rightChars="5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恶意透支的数额，是指在第一款规定的条件下持卡人拒不归还的数额或者尚未归还的数额。不包括复利、滞纳金、手续费等发卡银行收取的费用。</w:t>
      </w:r>
    </w:p>
    <w:p>
      <w:pPr>
        <w:autoSpaceDE w:val="0"/>
        <w:autoSpaceDN w:val="0"/>
        <w:adjustRightInd w:val="0"/>
        <w:spacing w:line="460" w:lineRule="exact"/>
        <w:ind w:right="122" w:rightChars="58"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autoSpaceDE w:val="0"/>
        <w:autoSpaceDN w:val="0"/>
        <w:adjustRightInd w:val="0"/>
        <w:spacing w:line="520" w:lineRule="exact"/>
        <w:ind w:right="437" w:rightChars="208"/>
        <w:jc w:val="center"/>
        <w:rPr>
          <w:color w:val="000000"/>
          <w:spacing w:val="2"/>
          <w:kern w:val="0"/>
        </w:rPr>
      </w:pPr>
      <w:r>
        <w:rPr>
          <w:rFonts w:hint="eastAsia"/>
          <w:kern w:val="0"/>
        </w:rPr>
        <w:t xml:space="preserve">                           </w:t>
      </w:r>
    </w:p>
    <w:sectPr>
      <w:footerReference r:id="rId3" w:type="default"/>
      <w:footerReference r:id="rId4" w:type="even"/>
      <w:pgSz w:w="11907" w:h="16840"/>
      <w:pgMar w:top="1440" w:right="1797" w:bottom="1440" w:left="1797" w:header="720" w:footer="720" w:gutter="0"/>
      <w:cols w:space="720" w:num="1"/>
      <w:docGrid w:type="lines" w:linePitch="49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1</w:t>
    </w:r>
    <w:r>
      <w:rPr>
        <w:rStyle w:val="11"/>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720"/>
  <w:doNotHyphenateCaps/>
  <w:drawingGridHorizontalSpacing w:val="105"/>
  <w:drawingGridVerticalSpacing w:val="246"/>
  <w:displayHorizontalDrawingGridEvery w:val="0"/>
  <w:displayVerticalDrawingGridEvery w:val="2"/>
  <w:doNotShadeFormData w:val="1"/>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compatSetting w:name="compatibilityMode" w:uri="http://schemas.microsoft.com/office/word" w:val="12"/>
  </w:compat>
  <w:rsids>
    <w:rsidRoot w:val="00623F24"/>
    <w:rsid w:val="00020593"/>
    <w:rsid w:val="00023D18"/>
    <w:rsid w:val="00027EC8"/>
    <w:rsid w:val="00070533"/>
    <w:rsid w:val="000737DA"/>
    <w:rsid w:val="000821BC"/>
    <w:rsid w:val="00082FDE"/>
    <w:rsid w:val="0008470E"/>
    <w:rsid w:val="0009392C"/>
    <w:rsid w:val="00125835"/>
    <w:rsid w:val="001435E1"/>
    <w:rsid w:val="00161ACE"/>
    <w:rsid w:val="001627A0"/>
    <w:rsid w:val="00163427"/>
    <w:rsid w:val="001A45C7"/>
    <w:rsid w:val="001E186C"/>
    <w:rsid w:val="001F1E8C"/>
    <w:rsid w:val="00276445"/>
    <w:rsid w:val="0028310B"/>
    <w:rsid w:val="0028318F"/>
    <w:rsid w:val="00284F54"/>
    <w:rsid w:val="00286E1E"/>
    <w:rsid w:val="00296877"/>
    <w:rsid w:val="00297D4E"/>
    <w:rsid w:val="002B2E01"/>
    <w:rsid w:val="002E0F3F"/>
    <w:rsid w:val="00314108"/>
    <w:rsid w:val="0035246F"/>
    <w:rsid w:val="003A03C8"/>
    <w:rsid w:val="003A1C50"/>
    <w:rsid w:val="003B7D3B"/>
    <w:rsid w:val="003C61A5"/>
    <w:rsid w:val="003F208E"/>
    <w:rsid w:val="00407143"/>
    <w:rsid w:val="00414FE0"/>
    <w:rsid w:val="00424F8E"/>
    <w:rsid w:val="00453203"/>
    <w:rsid w:val="00466D20"/>
    <w:rsid w:val="0047008F"/>
    <w:rsid w:val="00493F54"/>
    <w:rsid w:val="00496C70"/>
    <w:rsid w:val="004B57CB"/>
    <w:rsid w:val="004E1AE5"/>
    <w:rsid w:val="00500238"/>
    <w:rsid w:val="00501199"/>
    <w:rsid w:val="005310C6"/>
    <w:rsid w:val="005538CF"/>
    <w:rsid w:val="00556AEE"/>
    <w:rsid w:val="00572AC5"/>
    <w:rsid w:val="00582BD3"/>
    <w:rsid w:val="005C7978"/>
    <w:rsid w:val="005D64FB"/>
    <w:rsid w:val="00607D2F"/>
    <w:rsid w:val="00623F24"/>
    <w:rsid w:val="00626E84"/>
    <w:rsid w:val="006356C6"/>
    <w:rsid w:val="00640A39"/>
    <w:rsid w:val="006566B8"/>
    <w:rsid w:val="0066011F"/>
    <w:rsid w:val="00672D34"/>
    <w:rsid w:val="00681174"/>
    <w:rsid w:val="00685934"/>
    <w:rsid w:val="0068778D"/>
    <w:rsid w:val="006B3B09"/>
    <w:rsid w:val="006B6094"/>
    <w:rsid w:val="006D24DC"/>
    <w:rsid w:val="006E5E11"/>
    <w:rsid w:val="00706380"/>
    <w:rsid w:val="00715038"/>
    <w:rsid w:val="00717412"/>
    <w:rsid w:val="00725661"/>
    <w:rsid w:val="0075062C"/>
    <w:rsid w:val="0078308C"/>
    <w:rsid w:val="00792A98"/>
    <w:rsid w:val="0082290C"/>
    <w:rsid w:val="008326DC"/>
    <w:rsid w:val="00847CD5"/>
    <w:rsid w:val="00873BBB"/>
    <w:rsid w:val="00894C2A"/>
    <w:rsid w:val="00895AE8"/>
    <w:rsid w:val="008A2D61"/>
    <w:rsid w:val="008A551B"/>
    <w:rsid w:val="008C0298"/>
    <w:rsid w:val="008E66EC"/>
    <w:rsid w:val="008F3D14"/>
    <w:rsid w:val="008F512B"/>
    <w:rsid w:val="008F7238"/>
    <w:rsid w:val="008F7B9D"/>
    <w:rsid w:val="00907BEC"/>
    <w:rsid w:val="00912774"/>
    <w:rsid w:val="00917F54"/>
    <w:rsid w:val="009359A8"/>
    <w:rsid w:val="0094008D"/>
    <w:rsid w:val="0094052F"/>
    <w:rsid w:val="009562B8"/>
    <w:rsid w:val="00993714"/>
    <w:rsid w:val="009B2B8D"/>
    <w:rsid w:val="009C694D"/>
    <w:rsid w:val="009D1E35"/>
    <w:rsid w:val="00A0177B"/>
    <w:rsid w:val="00A258B0"/>
    <w:rsid w:val="00A444C9"/>
    <w:rsid w:val="00A61066"/>
    <w:rsid w:val="00AA7898"/>
    <w:rsid w:val="00AC0885"/>
    <w:rsid w:val="00AD327D"/>
    <w:rsid w:val="00AF2E53"/>
    <w:rsid w:val="00B03C27"/>
    <w:rsid w:val="00B3122E"/>
    <w:rsid w:val="00B44609"/>
    <w:rsid w:val="00B5058E"/>
    <w:rsid w:val="00B77A28"/>
    <w:rsid w:val="00B9035B"/>
    <w:rsid w:val="00BB0F60"/>
    <w:rsid w:val="00BF5226"/>
    <w:rsid w:val="00C058C5"/>
    <w:rsid w:val="00C151FA"/>
    <w:rsid w:val="00C26309"/>
    <w:rsid w:val="00C70FB3"/>
    <w:rsid w:val="00C74A36"/>
    <w:rsid w:val="00C825EE"/>
    <w:rsid w:val="00C830A0"/>
    <w:rsid w:val="00C91DFC"/>
    <w:rsid w:val="00C94D80"/>
    <w:rsid w:val="00CB0C31"/>
    <w:rsid w:val="00CC2C79"/>
    <w:rsid w:val="00CD19F1"/>
    <w:rsid w:val="00CE541C"/>
    <w:rsid w:val="00D74423"/>
    <w:rsid w:val="00D85AFB"/>
    <w:rsid w:val="00D87C5A"/>
    <w:rsid w:val="00DA1CE8"/>
    <w:rsid w:val="00DD4C4B"/>
    <w:rsid w:val="00DD526D"/>
    <w:rsid w:val="00E348DE"/>
    <w:rsid w:val="00E622B4"/>
    <w:rsid w:val="00E83F37"/>
    <w:rsid w:val="00F028D6"/>
    <w:rsid w:val="00F059FB"/>
    <w:rsid w:val="00F1751C"/>
    <w:rsid w:val="00F30877"/>
    <w:rsid w:val="00F35B8D"/>
    <w:rsid w:val="00F4749A"/>
    <w:rsid w:val="00F80565"/>
    <w:rsid w:val="00F81096"/>
    <w:rsid w:val="00F8459A"/>
    <w:rsid w:val="00F97636"/>
    <w:rsid w:val="00FB78DA"/>
    <w:rsid w:val="11895276"/>
    <w:rsid w:val="138A15CE"/>
    <w:rsid w:val="22C100BF"/>
    <w:rsid w:val="253E5FE0"/>
    <w:rsid w:val="30925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Indent"/>
    <w:basedOn w:val="1"/>
    <w:qFormat/>
    <w:uiPriority w:val="0"/>
    <w:pPr>
      <w:autoSpaceDE w:val="0"/>
      <w:autoSpaceDN w:val="0"/>
      <w:adjustRightInd w:val="0"/>
      <w:spacing w:line="480" w:lineRule="exact"/>
      <w:ind w:firstLine="544" w:firstLineChars="200"/>
      <w:jc w:val="left"/>
    </w:pPr>
    <w:rPr>
      <w:rFonts w:ascii="仿宋_GB2312" w:hAnsi="MS Sans Serif" w:eastAsia="仿宋_GB2312"/>
      <w:spacing w:val="-24"/>
      <w:kern w:val="0"/>
      <w:sz w:val="32"/>
      <w:szCs w:val="32"/>
    </w:rPr>
  </w:style>
  <w:style w:type="paragraph" w:styleId="5">
    <w:name w:val="Date"/>
    <w:basedOn w:val="1"/>
    <w:next w:val="1"/>
    <w:qFormat/>
    <w:uiPriority w:val="0"/>
    <w:pPr>
      <w:ind w:left="100" w:leftChars="2500"/>
    </w:pPr>
    <w:rPr>
      <w:rFonts w:ascii="仿宋_GB2312" w:hAnsi="MS Sans Serif" w:eastAsia="仿宋_GB2312"/>
      <w:kern w:val="0"/>
      <w:sz w:val="32"/>
      <w:szCs w:val="32"/>
    </w:rPr>
  </w:style>
  <w:style w:type="paragraph" w:styleId="6">
    <w:name w:val="Body Text Indent 2"/>
    <w:basedOn w:val="1"/>
    <w:qFormat/>
    <w:uiPriority w:val="0"/>
    <w:pPr>
      <w:autoSpaceDE w:val="0"/>
      <w:autoSpaceDN w:val="0"/>
      <w:adjustRightInd w:val="0"/>
      <w:spacing w:line="520" w:lineRule="exact"/>
      <w:ind w:firstLine="648" w:firstLineChars="200"/>
    </w:pPr>
    <w:rPr>
      <w:rFonts w:ascii="仿宋_GB2312" w:hAnsi="MS Sans Serif" w:eastAsia="仿宋_GB2312"/>
      <w:spacing w:val="2"/>
      <w:kern w:val="0"/>
      <w:sz w:val="32"/>
      <w:szCs w:val="32"/>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9">
    <w:name w:val="Body Text Indent 3"/>
    <w:basedOn w:val="1"/>
    <w:qFormat/>
    <w:uiPriority w:val="0"/>
    <w:pPr>
      <w:autoSpaceDE w:val="0"/>
      <w:autoSpaceDN w:val="0"/>
      <w:adjustRightInd w:val="0"/>
      <w:spacing w:line="500" w:lineRule="exact"/>
      <w:ind w:firstLine="656" w:firstLineChars="200"/>
    </w:pPr>
    <w:rPr>
      <w:rFonts w:ascii="仿宋_GB2312" w:hAnsi="MS Sans Serif" w:eastAsia="仿宋_GB2312"/>
      <w:spacing w:val="4"/>
      <w:kern w:val="0"/>
      <w:sz w:val="32"/>
      <w:szCs w:val="32"/>
    </w:rPr>
  </w:style>
  <w:style w:type="character" w:styleId="11">
    <w:name w:val="page number"/>
    <w:basedOn w:val="10"/>
    <w:uiPriority w:val="0"/>
  </w:style>
  <w:style w:type="character" w:customStyle="1" w:styleId="13">
    <w:name w:val="页眉 Char"/>
    <w:basedOn w:val="10"/>
    <w:link w:val="8"/>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21009;&#20107;&#21028;&#20915;&#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刑事判决书</Template>
  <Company>hpfy</Company>
  <Pages>5</Pages>
  <Words>388</Words>
  <Characters>2216</Characters>
  <Lines>18</Lines>
  <Paragraphs>5</Paragraphs>
  <TotalTime>91</TotalTime>
  <ScaleCrop>false</ScaleCrop>
  <LinksUpToDate>false</LinksUpToDate>
  <CharactersWithSpaces>2599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2017-05-18T01:24:00Z</dcterms:created>
  <dc:creator>user</dc:creator>
  <cp:lastModifiedBy>TF-PC</cp:lastModifiedBy>
  <cp:lastPrinted>2014-05-08T03:00:00Z</cp:lastPrinted>
  <dcterms:modified xsi:type="dcterms:W3CDTF">2018-08-27T09:41:32Z</dcterms:modified>
  <dc:title>天津市和平区人民法院</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