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29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55"/>
        <w:gridCol w:w="68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00"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bookmarkStart w:id="2" w:name="_GoBack"/>
            <w:bookmarkEnd w:id="2"/>
            <w:r>
              <w:rPr>
                <w:rFonts w:hint="eastAsia"/>
              </w:rPr>
              <w:t xml:space="preserve">                                    院   长</w:t>
            </w:r>
          </w:p>
          <w:p>
            <w:pPr>
              <w:spacing w:line="360" w:lineRule="exact"/>
            </w:pPr>
            <w:r>
              <w:rPr>
                <w:rFonts w:hint="eastAsia"/>
              </w:rPr>
              <w:t>审   批</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88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30"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r>
              <w:rPr>
                <w:rFonts w:hint="eastAsia"/>
              </w:rPr>
              <w:t>庭   长</w:t>
            </w:r>
          </w:p>
          <w:p>
            <w:pPr>
              <w:spacing w:line="360" w:lineRule="exact"/>
            </w:pPr>
            <w:r>
              <w:rPr>
                <w:rFonts w:hint="eastAsia"/>
              </w:rPr>
              <w:t>审   批</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85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75" w:hRule="atLeast"/>
        </w:trPr>
        <w:tc>
          <w:tcPr>
            <w:tcW w:w="1455" w:type="dxa"/>
            <w:vMerge w:val="restart"/>
            <w:tcBorders>
              <w:top w:val="single" w:color="auto" w:sz="4" w:space="0"/>
              <w:left w:val="single" w:color="auto" w:sz="4" w:space="0"/>
              <w:bottom w:val="single" w:color="auto" w:sz="4" w:space="0"/>
              <w:right w:val="single" w:color="auto" w:sz="4" w:space="0"/>
            </w:tcBorders>
            <w:vAlign w:val="top"/>
          </w:tcPr>
          <w:p>
            <w:pPr>
              <w:spacing w:line="360" w:lineRule="exact"/>
            </w:pPr>
          </w:p>
          <w:p>
            <w:pPr>
              <w:spacing w:line="360" w:lineRule="exact"/>
              <w:rPr>
                <w:rFonts w:hint="eastAsia"/>
              </w:rPr>
            </w:pPr>
            <w:r>
              <w:rPr>
                <w:rFonts w:hint="eastAsia"/>
              </w:rPr>
              <w:t>审判员</w:t>
            </w:r>
          </w:p>
          <w:p>
            <w:pPr>
              <w:spacing w:line="360" w:lineRule="exact"/>
            </w:pPr>
            <w:r>
              <w:rPr>
                <w:rFonts w:hint="eastAsia"/>
              </w:rPr>
              <w:t>意  见</w:t>
            </w: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315" w:hRule="atLeast"/>
        </w:trPr>
        <w:tc>
          <w:tcPr>
            <w:tcW w:w="14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6840" w:type="dxa"/>
            <w:tcBorders>
              <w:top w:val="single" w:color="auto" w:sz="4" w:space="0"/>
              <w:left w:val="single" w:color="auto" w:sz="4" w:space="0"/>
              <w:bottom w:val="single" w:color="auto" w:sz="4" w:space="0"/>
              <w:right w:val="single" w:color="auto" w:sz="4" w:space="0"/>
            </w:tcBorders>
            <w:vAlign w:val="top"/>
          </w:tcPr>
          <w:p>
            <w:pPr>
              <w:spacing w:line="360" w:lineRule="exact"/>
              <w:rPr>
                <w:sz w:val="30"/>
              </w:rPr>
            </w:pPr>
          </w:p>
        </w:tc>
      </w:tr>
    </w:tbl>
    <w:p>
      <w:pPr>
        <w:autoSpaceDE w:val="0"/>
        <w:autoSpaceDN w:val="0"/>
        <w:adjustRightInd w:val="0"/>
        <w:spacing w:line="400" w:lineRule="exact"/>
        <w:jc w:val="center"/>
        <w:rPr>
          <w:lang w:val="en-US" w:eastAsia="zh-CN"/>
        </w:rPr>
      </w:pPr>
      <w:r>
        <w:rPr>
          <w:rFonts w:hint="eastAsia"/>
          <w:sz w:val="44"/>
          <w:szCs w:val="44"/>
        </w:rPr>
        <w:t>天津市宁河县人民法院</w:t>
      </w:r>
    </w:p>
    <w:p>
      <w:pPr>
        <w:autoSpaceDE w:val="0"/>
        <w:autoSpaceDN w:val="0"/>
        <w:adjustRightInd w:val="0"/>
        <w:spacing w:line="400" w:lineRule="exact"/>
        <w:jc w:val="center"/>
        <w:rPr>
          <w:rFonts w:hint="eastAsia" w:ascii="黑体" w:eastAsia="黑体"/>
          <w:sz w:val="44"/>
          <w:szCs w:val="44"/>
        </w:rPr>
      </w:pPr>
      <w:r>
        <w:rPr>
          <w:rFonts w:hint="eastAsia" w:ascii="黑体" w:eastAsia="黑体"/>
          <w:b/>
          <w:bCs/>
          <w:sz w:val="44"/>
          <w:szCs w:val="44"/>
        </w:rPr>
        <w:t>刑   事   判   决   书</w:t>
      </w:r>
    </w:p>
    <w:p>
      <w:pPr>
        <w:autoSpaceDE w:val="0"/>
        <w:autoSpaceDN w:val="0"/>
        <w:adjustRightInd w:val="0"/>
        <w:spacing w:line="340" w:lineRule="exact"/>
        <w:rPr>
          <w:rFonts w:hint="eastAsia"/>
        </w:rPr>
      </w:pPr>
    </w:p>
    <w:p>
      <w:pPr>
        <w:autoSpaceDE w:val="0"/>
        <w:autoSpaceDN w:val="0"/>
        <w:adjustRightInd w:val="0"/>
        <w:spacing w:line="340" w:lineRule="exact"/>
        <w:jc w:val="right"/>
        <w:rPr>
          <w:rFonts w:hint="eastAsia"/>
        </w:rPr>
      </w:pPr>
      <w:r>
        <w:rPr>
          <w:rFonts w:hint="eastAsia"/>
        </w:rPr>
        <w:t xml:space="preserve">(2013)宁刑初字第274号 </w:t>
      </w:r>
    </w:p>
    <w:p>
      <w:pPr>
        <w:autoSpaceDE w:val="0"/>
        <w:autoSpaceDN w:val="0"/>
        <w:adjustRightInd w:val="0"/>
        <w:spacing w:line="340" w:lineRule="exact"/>
        <w:rPr>
          <w:rFonts w:hint="eastAsia"/>
        </w:rPr>
      </w:pPr>
    </w:p>
    <w:p>
      <w:pPr>
        <w:autoSpaceDE w:val="0"/>
        <w:autoSpaceDN w:val="0"/>
        <w:adjustRightInd w:val="0"/>
        <w:spacing w:line="440" w:lineRule="exact"/>
        <w:ind w:right="58" w:rightChars="18" w:firstLine="660"/>
        <w:rPr>
          <w:rFonts w:hint="eastAsia"/>
        </w:rPr>
      </w:pPr>
      <w:r>
        <w:rPr>
          <w:rFonts w:hint="eastAsia"/>
        </w:rPr>
        <w:t>公诉机关宁河县人民检察院。</w:t>
      </w:r>
    </w:p>
    <w:p>
      <w:pPr>
        <w:spacing w:line="440" w:lineRule="exact"/>
        <w:ind w:firstLine="640" w:firstLineChars="200"/>
        <w:rPr>
          <w:rFonts w:hint="eastAsia"/>
        </w:rPr>
      </w:pPr>
      <w:r>
        <w:rPr>
          <w:rFonts w:hint="eastAsia"/>
        </w:rPr>
        <w:t>被告人张术立，男，1981年6月4日出生，公民身份号码：12010819810604351X，汉族，中专文化，农民，住天津市滨海新区茶淀镇后沽村西一街57号。2013年7月8日因涉嫌信用卡诈骗罪被天津市公安局宁河分局取保候审。现在居住地候审。</w:t>
      </w:r>
    </w:p>
    <w:p>
      <w:pPr>
        <w:autoSpaceDE w:val="0"/>
        <w:autoSpaceDN w:val="0"/>
        <w:adjustRightInd w:val="0"/>
        <w:spacing w:line="440" w:lineRule="exact"/>
        <w:ind w:firstLine="640" w:firstLineChars="200"/>
        <w:rPr>
          <w:rFonts w:hint="eastAsia"/>
        </w:rPr>
      </w:pPr>
      <w:r>
        <w:rPr>
          <w:rFonts w:hint="eastAsia"/>
        </w:rPr>
        <w:t>宁河县人民检察院以津宁检刑诉（2013）161号起诉书，指控被告人张术立犯信用卡诈骗罪，于2013年8月9日向本院提起公诉，并建议适用简易程序审理。本院依法适用简易程序，公开开庭进行了审理。宁河县人民检察院检察员李晓媛出庭支持公诉，被告人张术立到庭参加诉讼。现已审理终结。</w:t>
      </w:r>
    </w:p>
    <w:p>
      <w:pPr>
        <w:autoSpaceDE w:val="0"/>
        <w:autoSpaceDN w:val="0"/>
        <w:adjustRightInd w:val="0"/>
        <w:spacing w:line="440" w:lineRule="exact"/>
        <w:ind w:right="18" w:firstLine="640" w:firstLineChars="200"/>
        <w:jc w:val="left"/>
        <w:rPr>
          <w:rFonts w:hint="eastAsia"/>
        </w:rPr>
      </w:pPr>
      <w:r>
        <w:rPr>
          <w:rFonts w:hint="eastAsia"/>
        </w:rPr>
        <w:t>宁河县人民检察院指控，2011年11月22日，被告人张术立用本人的身份信息等资料在中国农业银行宁河支行办理了一张信用卡（号码为：6228360044896042）。2012年12月7日被告人张术立最后一次还款后未再还款，后经中国农业银行宁河支行多次催缴未果。截至2013年6月23日，被告人张术立持该卡欠款为人民币64437.35 元。案发后，被告人张术立赔偿了银行的经济损失。</w:t>
      </w:r>
    </w:p>
    <w:p>
      <w:pPr>
        <w:autoSpaceDE w:val="0"/>
        <w:autoSpaceDN w:val="0"/>
        <w:adjustRightInd w:val="0"/>
        <w:spacing w:line="440" w:lineRule="exact"/>
        <w:ind w:firstLine="640" w:firstLineChars="200"/>
        <w:jc w:val="left"/>
        <w:rPr>
          <w:rFonts w:hint="eastAsia"/>
        </w:rPr>
      </w:pPr>
      <w:r>
        <w:rPr>
          <w:rFonts w:hint="eastAsia"/>
        </w:rPr>
        <w:t>公诉机关认为，被告人张术立持信用卡，恶意透支，数额较大，其行为已触犯《中华人民共和国刑法》第一百九十六条第（四）项之规定，犯罪事实清楚，证据确实、充分，应当以信用卡诈骗罪追究被告人张术立的刑事责任。请求依法判处，并建议判处张术立有期徒刑一年至三年，并处罚金，建议适用缓刑。</w:t>
      </w:r>
    </w:p>
    <w:p>
      <w:pPr>
        <w:autoSpaceDE w:val="0"/>
        <w:autoSpaceDN w:val="0"/>
        <w:adjustRightInd w:val="0"/>
        <w:spacing w:line="440" w:lineRule="exact"/>
        <w:ind w:firstLine="645"/>
        <w:jc w:val="left"/>
        <w:rPr>
          <w:rFonts w:hint="eastAsia"/>
        </w:rPr>
      </w:pPr>
      <w:r>
        <w:rPr>
          <w:rFonts w:hint="eastAsia"/>
        </w:rPr>
        <w:t>被告人张术立对</w:t>
      </w:r>
      <w:r>
        <w:rPr>
          <w:rFonts w:hint="eastAsia" w:cs="仿宋_GB2312"/>
        </w:rPr>
        <w:t>公诉机关的指控未提出</w:t>
      </w:r>
      <w:r>
        <w:rPr>
          <w:rFonts w:hint="eastAsia"/>
        </w:rPr>
        <w:t xml:space="preserve">辩解意见，对量刑建议亦无异议。 </w:t>
      </w:r>
    </w:p>
    <w:p>
      <w:pPr>
        <w:autoSpaceDE w:val="0"/>
        <w:autoSpaceDN w:val="0"/>
        <w:adjustRightInd w:val="0"/>
        <w:spacing w:line="440" w:lineRule="exact"/>
        <w:ind w:right="18" w:firstLine="640" w:firstLineChars="200"/>
        <w:jc w:val="left"/>
        <w:rPr>
          <w:rFonts w:hint="eastAsia"/>
        </w:rPr>
      </w:pPr>
      <w:r>
        <w:rPr>
          <w:rFonts w:hint="eastAsia"/>
        </w:rPr>
        <w:t>经审理查明，2011年11月22日，被告人张术立用本人的身份信息等资料在中国农业银行宁河支行办理了一张信用卡（号码为：6228360044896042）。2012年12月7日被告人张术立最后一次还款后未再还款，后经中国农业银行宁河支行多次催缴未果。截至2013年6月23日，被告人张术立持该卡欠款为人民币64437.35 元。案发后，被告人张术立赔偿了银行的经济损失。</w:t>
      </w:r>
    </w:p>
    <w:p>
      <w:pPr>
        <w:autoSpaceDE w:val="0"/>
        <w:autoSpaceDN w:val="0"/>
        <w:adjustRightInd w:val="0"/>
        <w:spacing w:line="440" w:lineRule="exact"/>
        <w:ind w:right="18" w:firstLine="640" w:firstLineChars="200"/>
        <w:jc w:val="left"/>
        <w:rPr>
          <w:rFonts w:hint="eastAsia"/>
        </w:rPr>
      </w:pPr>
      <w:r>
        <w:rPr>
          <w:rFonts w:hint="eastAsia"/>
        </w:rPr>
        <w:t>另查明，被告人张术立系自首。</w:t>
      </w:r>
    </w:p>
    <w:p>
      <w:pPr>
        <w:autoSpaceDE w:val="0"/>
        <w:autoSpaceDN w:val="0"/>
        <w:adjustRightInd w:val="0"/>
        <w:spacing w:line="440" w:lineRule="exact"/>
        <w:ind w:right="18" w:firstLine="640" w:firstLineChars="200"/>
        <w:jc w:val="left"/>
        <w:rPr>
          <w:rFonts w:hint="eastAsia"/>
        </w:rPr>
      </w:pPr>
      <w:r>
        <w:rPr>
          <w:rFonts w:hint="eastAsia"/>
        </w:rPr>
        <w:t>认定上述犯罪事实的证据如下：</w:t>
      </w:r>
    </w:p>
    <w:p>
      <w:pPr>
        <w:autoSpaceDE w:val="0"/>
        <w:autoSpaceDN w:val="0"/>
        <w:adjustRightInd w:val="0"/>
        <w:spacing w:line="440" w:lineRule="exact"/>
        <w:ind w:right="18" w:firstLine="640" w:firstLineChars="200"/>
        <w:jc w:val="left"/>
        <w:rPr>
          <w:rFonts w:hint="eastAsia"/>
        </w:rPr>
      </w:pPr>
      <w:r>
        <w:rPr>
          <w:rFonts w:hint="eastAsia"/>
        </w:rPr>
        <w:t>1、卡号为6228360044896042中国农业银行信用卡一张；</w:t>
      </w:r>
    </w:p>
    <w:p>
      <w:pPr>
        <w:spacing w:line="440" w:lineRule="exact"/>
        <w:ind w:firstLine="640" w:firstLineChars="200"/>
        <w:rPr>
          <w:rFonts w:hint="eastAsia"/>
        </w:rPr>
      </w:pPr>
      <w:r>
        <w:rPr>
          <w:rFonts w:hint="eastAsia"/>
        </w:rPr>
        <w:t>2、中国农业银行股份有限公司宁河支行举报材料、被告人张术立信用卡申请资料、被告人张术立信用卡帐户的催收帐户交易历史记录、催收帐户催收历史记录、金穗贷记卡透支催收通知书、公安宁河分局扣押、发还清单；</w:t>
      </w:r>
    </w:p>
    <w:p>
      <w:pPr>
        <w:spacing w:line="440" w:lineRule="exact"/>
        <w:ind w:firstLine="640" w:firstLineChars="200"/>
        <w:rPr>
          <w:rFonts w:hint="eastAsia"/>
        </w:rPr>
      </w:pPr>
      <w:r>
        <w:rPr>
          <w:rFonts w:hint="eastAsia"/>
        </w:rPr>
        <w:t>3、案件来源、抓获材料、被告人的身份材料；</w:t>
      </w:r>
    </w:p>
    <w:p>
      <w:pPr>
        <w:spacing w:line="440" w:lineRule="exact"/>
        <w:ind w:firstLine="640" w:firstLineChars="200"/>
        <w:rPr>
          <w:rFonts w:hint="eastAsia"/>
        </w:rPr>
      </w:pPr>
      <w:r>
        <w:rPr>
          <w:rFonts w:hint="eastAsia"/>
        </w:rPr>
        <w:t>4、被告人张术立的供述和辩解。</w:t>
      </w:r>
    </w:p>
    <w:p>
      <w:pPr>
        <w:spacing w:line="440" w:lineRule="exact"/>
        <w:ind w:firstLine="640" w:firstLineChars="200"/>
        <w:jc w:val="left"/>
        <w:rPr>
          <w:rFonts w:hint="eastAsia"/>
        </w:rPr>
      </w:pPr>
      <w:r>
        <w:rPr>
          <w:rFonts w:hint="eastAsia"/>
        </w:rPr>
        <w:t>上述证据已经控辩双方当庭举证、质证，双方均未提出异议，故本院对上述证据的证明效力予以确认。</w:t>
      </w:r>
    </w:p>
    <w:p>
      <w:pPr>
        <w:autoSpaceDE w:val="0"/>
        <w:autoSpaceDN w:val="0"/>
        <w:adjustRightInd w:val="0"/>
        <w:spacing w:line="440" w:lineRule="exact"/>
        <w:ind w:firstLine="645"/>
        <w:rPr>
          <w:rFonts w:hint="eastAsia"/>
        </w:rPr>
      </w:pPr>
      <w:r>
        <w:rPr>
          <w:rFonts w:hint="eastAsia"/>
        </w:rPr>
        <w:t>本院认为，被告人张术立持信用卡，恶意透支，数额较大，其行为已触犯《中华人民共和国刑法》第一百九十六条第（四）项之规定，公诉机关指控的犯罪事实清楚，证据确实、充分，指控的罪名成立，本院对其指控予以支持，故本院决定以信用卡诈骗罪追究被告人张术立的刑事责任。被告人张术立犯罪以后自动投案，如实供述自己的罪行，是自首；被告人</w:t>
      </w:r>
      <w:r>
        <w:rPr>
          <w:rFonts w:hint="eastAsia" w:hAnsi="Verdana" w:cs="宋体"/>
        </w:rPr>
        <w:t>张术立在案发后能够积极归还欠款，极大地消除了本案的社会影响，综合以上情节，本院决定对被告人张术立从轻处罚。</w:t>
      </w:r>
      <w:r>
        <w:rPr>
          <w:rFonts w:hint="eastAsia"/>
        </w:rPr>
        <w:t>据此，依照《中华人民共和国刑法》第一百九十六条第（四）项、第六十七条第一款、第七十二条的规定，判决如下：</w:t>
      </w:r>
    </w:p>
    <w:p>
      <w:pPr>
        <w:autoSpaceDE w:val="0"/>
        <w:autoSpaceDN w:val="0"/>
        <w:adjustRightInd w:val="0"/>
        <w:spacing w:line="440" w:lineRule="exact"/>
        <w:ind w:firstLine="640" w:firstLineChars="200"/>
        <w:jc w:val="left"/>
        <w:rPr>
          <w:rFonts w:hint="eastAsia"/>
        </w:rPr>
      </w:pPr>
      <w:r>
        <w:rPr>
          <w:rFonts w:hint="eastAsia"/>
        </w:rPr>
        <w:t>被告人张术立犯信用卡诈骗罪，判处其有期徒刑二年，缓刑三年，并处罚金20000元（罚金于判决生效后十日内缴纳）。</w:t>
      </w:r>
    </w:p>
    <w:p>
      <w:pPr>
        <w:autoSpaceDE w:val="0"/>
        <w:autoSpaceDN w:val="0"/>
        <w:adjustRightInd w:val="0"/>
        <w:spacing w:line="440" w:lineRule="exact"/>
        <w:ind w:left="320" w:leftChars="100" w:firstLine="320" w:firstLineChars="100"/>
        <w:jc w:val="left"/>
        <w:rPr>
          <w:rFonts w:hint="eastAsia"/>
        </w:rPr>
      </w:pPr>
      <w:r>
        <w:rPr>
          <w:rFonts w:hint="eastAsia"/>
        </w:rPr>
        <w:t>（</w:t>
      </w:r>
      <w:r>
        <w:rPr>
          <w:rFonts w:hint="eastAsia"/>
          <w:color w:val="000000"/>
        </w:rPr>
        <w:t>缓刑考验期自判决确定之日起计算，即自2013年9月7日起至2016年9月6日止</w:t>
      </w:r>
      <w:r>
        <w:rPr>
          <w:rFonts w:hint="eastAsia"/>
        </w:rPr>
        <w:t>）。</w:t>
      </w:r>
    </w:p>
    <w:p>
      <w:pPr>
        <w:autoSpaceDE w:val="0"/>
        <w:autoSpaceDN w:val="0"/>
        <w:adjustRightInd w:val="0"/>
        <w:spacing w:line="440" w:lineRule="exact"/>
        <w:ind w:firstLine="645"/>
        <w:rPr>
          <w:rFonts w:hint="eastAsia"/>
        </w:rPr>
      </w:pPr>
      <w:r>
        <w:rPr>
          <w:rFonts w:hint="eastAsia"/>
        </w:rPr>
        <w:t>如不服本判决，可在接到本判决书的第二日起十日内，通过本院或者直接向天津市第二中级人民法院提出上诉。书面上诉的，应提交上诉状正本一份，副本一份。</w:t>
      </w:r>
    </w:p>
    <w:p>
      <w:pPr>
        <w:autoSpaceDE w:val="0"/>
        <w:autoSpaceDN w:val="0"/>
        <w:adjustRightInd w:val="0"/>
        <w:spacing w:line="500" w:lineRule="exact"/>
        <w:ind w:firstLine="5925"/>
        <w:jc w:val="right"/>
        <w:rPr>
          <w:rFonts w:hint="eastAsia"/>
        </w:rPr>
      </w:pPr>
    </w:p>
    <w:p>
      <w:pPr>
        <w:spacing w:line="340" w:lineRule="exact"/>
        <w:ind w:firstLine="4110"/>
        <w:jc w:val="right"/>
        <w:rPr>
          <w:rFonts w:hint="eastAsia"/>
        </w:rPr>
      </w:pPr>
      <w:r>
        <w:rPr>
          <w:rFonts w:hint="eastAsia"/>
        </w:rPr>
        <w:t>审  判  员：杨  超</w:t>
      </w:r>
    </w:p>
    <w:p>
      <w:pPr>
        <w:spacing w:line="340" w:lineRule="exact"/>
        <w:ind w:firstLine="4110"/>
        <w:rPr>
          <w:rFonts w:hint="eastAsia"/>
        </w:rPr>
      </w:pPr>
    </w:p>
    <w:p>
      <w:pPr>
        <w:wordWrap w:val="0"/>
        <w:spacing w:line="340" w:lineRule="exact"/>
        <w:jc w:val="right"/>
        <w:rPr>
          <w:rFonts w:hint="eastAsia"/>
        </w:rPr>
      </w:pPr>
      <w:r>
        <w:rPr>
          <w:rFonts w:hint="eastAsia"/>
        </w:rPr>
        <w:t>二</w:t>
      </w:r>
      <w:r>
        <w:rPr>
          <w:rFonts w:hint="eastAsia" w:ascii="宋体" w:hAnsi="宋体" w:eastAsia="宋体" w:cs="宋体"/>
        </w:rPr>
        <w:t>〇</w:t>
      </w:r>
      <w:r>
        <w:rPr>
          <w:rFonts w:hint="eastAsia"/>
        </w:rPr>
        <w:t>一三年八月二十七日</w:t>
      </w:r>
    </w:p>
    <w:p>
      <w:pPr>
        <w:spacing w:line="340" w:lineRule="exact"/>
        <w:ind w:firstLine="4110"/>
        <w:jc w:val="right"/>
        <w:rPr>
          <w:rFonts w:hint="eastAsia"/>
        </w:rPr>
      </w:pPr>
    </w:p>
    <w:p>
      <w:pPr>
        <w:autoSpaceDE w:val="0"/>
        <w:autoSpaceDN w:val="0"/>
        <w:adjustRightInd w:val="0"/>
        <w:spacing w:line="340" w:lineRule="exact"/>
        <w:jc w:val="right"/>
        <w:rPr>
          <w:rFonts w:hint="eastAsia"/>
        </w:rPr>
      </w:pPr>
      <w:r>
        <w:rPr>
          <w:rFonts w:hint="eastAsia"/>
        </w:rPr>
        <w:t>书  记  员 ：陈 晨</w:t>
      </w:r>
    </w:p>
    <w:p>
      <w:pPr>
        <w:autoSpaceDE w:val="0"/>
        <w:autoSpaceDN w:val="0"/>
        <w:adjustRightInd w:val="0"/>
        <w:spacing w:line="340" w:lineRule="exact"/>
        <w:ind w:right="640"/>
        <w:rPr>
          <w:rFonts w:hint="eastAsia"/>
        </w:rPr>
      </w:pPr>
      <w:r>
        <w:rPr>
          <w:rFonts w:hint="eastAsia"/>
        </w:rPr>
        <w:t>相关法律链接：</w:t>
      </w:r>
    </w:p>
    <w:p>
      <w:pPr>
        <w:autoSpaceDE w:val="0"/>
        <w:autoSpaceDN w:val="0"/>
        <w:adjustRightInd w:val="0"/>
        <w:spacing w:line="340" w:lineRule="exact"/>
        <w:jc w:val="center"/>
        <w:rPr>
          <w:rFonts w:hint="eastAsia" w:ascii="黑体" w:eastAsia="黑体"/>
          <w:sz w:val="24"/>
          <w:szCs w:val="24"/>
        </w:rPr>
      </w:pPr>
      <w:r>
        <w:rPr>
          <w:rFonts w:hint="eastAsia" w:ascii="黑体" w:eastAsia="黑体"/>
          <w:sz w:val="24"/>
          <w:szCs w:val="24"/>
        </w:rPr>
        <w:t>中华人民共和国刑法</w:t>
      </w:r>
    </w:p>
    <w:p>
      <w:pPr>
        <w:widowControl/>
        <w:spacing w:line="340" w:lineRule="exact"/>
        <w:ind w:firstLine="443" w:firstLineChars="184"/>
        <w:jc w:val="left"/>
        <w:rPr>
          <w:rFonts w:hint="eastAsia"/>
          <w:sz w:val="24"/>
          <w:szCs w:val="24"/>
        </w:rPr>
      </w:pPr>
      <w:bookmarkStart w:id="0" w:name="73"/>
      <w:bookmarkEnd w:id="0"/>
      <w:r>
        <w:rPr>
          <w:rFonts w:hint="eastAsia" w:hAnsi="宋体" w:cs="宋体"/>
          <w:b/>
          <w:bCs/>
          <w:smallCaps/>
          <w:color w:val="000000"/>
          <w:sz w:val="24"/>
          <w:szCs w:val="24"/>
        </w:rPr>
        <w:t>第一百九十六条</w:t>
      </w:r>
      <w:r>
        <w:rPr>
          <w:rFonts w:hint="eastAsia" w:ascii="宋体" w:hAnsi="宋体" w:cs="宋体"/>
          <w:sz w:val="24"/>
          <w:szCs w:val="24"/>
        </w:rPr>
        <w:t>　</w:t>
      </w:r>
      <w:r>
        <w:rPr>
          <w:rFonts w:hint="eastAsia" w:ascii="宋体" w:hAnsi="宋体"/>
          <w:sz w:val="24"/>
          <w:szCs w:val="24"/>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宋体" w:hAnsi="宋体"/>
          <w:sz w:val="24"/>
          <w:szCs w:val="24"/>
        </w:rPr>
        <w:br w:type="textWrapping"/>
      </w:r>
      <w:r>
        <w:rPr>
          <w:rFonts w:hint="eastAsia" w:ascii="宋体" w:hAnsi="宋体"/>
          <w:sz w:val="24"/>
          <w:szCs w:val="24"/>
        </w:rPr>
        <w:t>　　“（一）使用伪造的信用卡，或者使用以虚假的身份证明骗领的信用卡的；</w:t>
      </w:r>
      <w:r>
        <w:rPr>
          <w:rFonts w:hint="eastAsia" w:ascii="宋体" w:hAnsi="宋体"/>
          <w:sz w:val="24"/>
          <w:szCs w:val="24"/>
        </w:rPr>
        <w:br w:type="textWrapping"/>
      </w:r>
      <w:r>
        <w:rPr>
          <w:rFonts w:hint="eastAsia" w:ascii="宋体" w:hAnsi="宋体"/>
          <w:sz w:val="24"/>
          <w:szCs w:val="24"/>
        </w:rPr>
        <w:t>　　“（二）使用作废的信用卡的；</w:t>
      </w:r>
      <w:r>
        <w:rPr>
          <w:rFonts w:hint="eastAsia" w:ascii="宋体" w:hAnsi="宋体"/>
          <w:sz w:val="24"/>
          <w:szCs w:val="24"/>
        </w:rPr>
        <w:br w:type="textWrapping"/>
      </w:r>
      <w:r>
        <w:rPr>
          <w:rFonts w:hint="eastAsia" w:ascii="宋体" w:hAnsi="宋体"/>
          <w:sz w:val="24"/>
          <w:szCs w:val="24"/>
        </w:rPr>
        <w:t>　　“（三）冒用他人信用卡的；</w:t>
      </w:r>
      <w:r>
        <w:rPr>
          <w:rFonts w:hint="eastAsia" w:ascii="宋体" w:hAnsi="宋体"/>
          <w:sz w:val="24"/>
          <w:szCs w:val="24"/>
        </w:rPr>
        <w:br w:type="textWrapping"/>
      </w:r>
      <w:r>
        <w:rPr>
          <w:rFonts w:hint="eastAsia" w:ascii="宋体" w:hAnsi="宋体"/>
          <w:sz w:val="24"/>
          <w:szCs w:val="24"/>
        </w:rPr>
        <w:t>　　“（四）恶意透支的。</w:t>
      </w:r>
      <w:r>
        <w:rPr>
          <w:rFonts w:hint="eastAsia" w:ascii="宋体" w:hAnsi="宋体"/>
          <w:sz w:val="24"/>
          <w:szCs w:val="24"/>
        </w:rPr>
        <w:br w:type="textWrapping"/>
      </w:r>
      <w:r>
        <w:rPr>
          <w:rFonts w:hint="eastAsia" w:ascii="宋体" w:hAnsi="宋体"/>
          <w:sz w:val="24"/>
          <w:szCs w:val="24"/>
        </w:rPr>
        <w:t>　　“前款所称恶意透支，是指持卡人以非法占有为目的，超过规定限额或者规定期限透支，并且经发卡银行催收后仍不归还的行为。</w:t>
      </w:r>
      <w:r>
        <w:rPr>
          <w:rFonts w:hint="eastAsia" w:ascii="宋体" w:hAnsi="宋体"/>
          <w:sz w:val="24"/>
          <w:szCs w:val="24"/>
        </w:rPr>
        <w:br w:type="textWrapping"/>
      </w:r>
      <w:r>
        <w:rPr>
          <w:rFonts w:hint="eastAsia" w:ascii="宋体" w:hAnsi="宋体"/>
          <w:sz w:val="24"/>
          <w:szCs w:val="24"/>
        </w:rPr>
        <w:t>　　“盗窃信用卡并使用的，依照本法第二百六十四条的规定定罪处罚。”</w:t>
      </w:r>
    </w:p>
    <w:p>
      <w:pPr>
        <w:adjustRightInd w:val="0"/>
        <w:spacing w:line="360" w:lineRule="exact"/>
        <w:ind w:firstLine="472" w:firstLineChars="196"/>
        <w:rPr>
          <w:rFonts w:hint="eastAsia"/>
          <w:sz w:val="24"/>
          <w:szCs w:val="24"/>
        </w:rPr>
      </w:pPr>
      <w:r>
        <w:rPr>
          <w:rFonts w:hint="eastAsia" w:hAnsi="_GB2312"/>
          <w:b/>
          <w:bCs/>
          <w:smallCaps/>
          <w:color w:val="000000"/>
          <w:sz w:val="24"/>
          <w:szCs w:val="24"/>
        </w:rPr>
        <w:t>第六十七条</w:t>
      </w:r>
      <w:r>
        <w:rPr>
          <w:rFonts w:hint="eastAsia"/>
          <w:sz w:val="24"/>
          <w:szCs w:val="24"/>
        </w:rPr>
        <w:t>　犯罪以后自动投案，如实供述自己的罪行的，是自首。对于自首的犯罪分子，可以从轻或者减轻处罚。其中，犯罪较轻的，可以免除处罚。</w:t>
      </w:r>
    </w:p>
    <w:p>
      <w:pPr>
        <w:adjustRightInd w:val="0"/>
        <w:spacing w:line="360" w:lineRule="exact"/>
        <w:ind w:firstLine="470" w:firstLineChars="196"/>
        <w:rPr>
          <w:rFonts w:hint="eastAsia"/>
          <w:sz w:val="24"/>
          <w:szCs w:val="24"/>
        </w:rPr>
      </w:pPr>
      <w:r>
        <w:rPr>
          <w:rFonts w:hint="eastAsia"/>
          <w:sz w:val="24"/>
          <w:szCs w:val="24"/>
        </w:rPr>
        <w:t>被采取强制措施的犯罪嫌疑人、被告人和正在服刑的罪犯，如实供述司法机关还未掌握的本人其他罪行的，以自首论。</w:t>
      </w:r>
    </w:p>
    <w:p>
      <w:pPr>
        <w:adjustRightInd w:val="0"/>
        <w:spacing w:line="360" w:lineRule="exact"/>
        <w:ind w:firstLine="470" w:firstLineChars="196"/>
        <w:rPr>
          <w:rFonts w:hint="eastAsia"/>
          <w:sz w:val="24"/>
          <w:szCs w:val="24"/>
        </w:rPr>
      </w:pPr>
      <w:r>
        <w:rPr>
          <w:rFonts w:hint="eastAsia" w:hAnsi="ˎ̥" w:cs="宋体"/>
          <w:color w:val="000000"/>
          <w:sz w:val="24"/>
          <w:szCs w:val="24"/>
        </w:rPr>
        <w:t>犯罪嫌疑人虽不具有前两款规定的自首情节，但是如实供述自己罪行的，可以从轻处罚；因其如实供述自己罪行，避免特别严重后果发生的，可以减轻处罚。</w:t>
      </w:r>
    </w:p>
    <w:p>
      <w:pPr>
        <w:widowControl/>
        <w:spacing w:line="340" w:lineRule="exact"/>
        <w:ind w:firstLine="354" w:firstLineChars="147"/>
        <w:jc w:val="left"/>
        <w:rPr>
          <w:rFonts w:hint="eastAsia" w:ascii="Verdana" w:hAnsi="Verdana" w:cs="宋体"/>
          <w:sz w:val="24"/>
          <w:szCs w:val="24"/>
        </w:rPr>
      </w:pPr>
      <w:r>
        <w:rPr>
          <w:rFonts w:hint="eastAsia" w:hAnsi="宋体" w:cs="宋体"/>
          <w:b/>
          <w:bCs/>
          <w:smallCaps/>
          <w:color w:val="000000"/>
          <w:sz w:val="24"/>
          <w:szCs w:val="24"/>
        </w:rPr>
        <w:t>第七十二条</w:t>
      </w:r>
      <w:bookmarkStart w:id="1" w:name="72"/>
      <w:bookmarkEnd w:id="1"/>
      <w:r>
        <w:rPr>
          <w:rFonts w:hint="eastAsia" w:ascii="宋体" w:hAnsi="宋体" w:cs="宋体"/>
          <w:sz w:val="24"/>
          <w:szCs w:val="24"/>
        </w:rPr>
        <w:t>　</w:t>
      </w:r>
      <w:r>
        <w:rPr>
          <w:rFonts w:hint="eastAsia" w:ascii="Verdana" w:hAnsi="Verdana" w:cs="宋体"/>
          <w:sz w:val="24"/>
          <w:szCs w:val="24"/>
        </w:rPr>
        <w:t>对于被判处拘役、三年以下有期徒刑的犯罪分子，同时符合下列条件的，可以宣告缓刑，对其中不满十八周岁的人、怀孕的妇女和已满七十五周岁的人，应当宣告缓刑：</w:t>
      </w:r>
      <w:r>
        <w:rPr>
          <w:rFonts w:ascii="Verdana" w:hAnsi="Verdana" w:cs="宋体"/>
          <w:sz w:val="24"/>
          <w:szCs w:val="24"/>
        </w:rPr>
        <w:t xml:space="preserve"> </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（一）犯罪情节较轻；</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（二）有悔罪表现；</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（三）没有再犯罪的危险；</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（四）宣告缓刑对所居住社区没有重大不良影响。</w:t>
      </w:r>
    </w:p>
    <w:p>
      <w:pPr>
        <w:widowControl/>
        <w:spacing w:line="340" w:lineRule="exact"/>
        <w:ind w:firstLine="285"/>
        <w:jc w:val="left"/>
        <w:rPr>
          <w:rFonts w:ascii="Verdana" w:hAnsi="Verdana" w:cs="宋体"/>
          <w:sz w:val="24"/>
          <w:szCs w:val="24"/>
        </w:rPr>
      </w:pPr>
      <w:r>
        <w:rPr>
          <w:rFonts w:hint="eastAsia" w:ascii="Verdana" w:hAnsi="Verdana" w:cs="宋体"/>
          <w:sz w:val="24"/>
          <w:szCs w:val="24"/>
        </w:rPr>
        <w:t>宣告缓刑，可以根据犯罪情况，同时禁止犯罪分子在缓刑考验期限内从事特定活动，进入特定区域、场所，接触特定的人。</w:t>
      </w:r>
    </w:p>
    <w:p>
      <w:pPr>
        <w:rPr>
          <w:sz w:val="24"/>
          <w:szCs w:val="24"/>
        </w:rPr>
      </w:pPr>
      <w:r>
        <w:rPr>
          <w:rFonts w:hint="eastAsia" w:ascii="Verdana" w:hAnsi="Verdana" w:cs="宋体"/>
          <w:sz w:val="24"/>
          <w:szCs w:val="24"/>
        </w:rPr>
        <w:t>被宣告缓刑的犯罪分子，如果被判处附加刑，附加刑仍须执行。</w:t>
      </w:r>
      <w:r>
        <w:rPr>
          <w:rFonts w:hint="eastAsia" w:ascii="宋体" w:hAnsi="宋体" w:cs="宋体"/>
          <w:sz w:val="24"/>
          <w:szCs w:val="24"/>
        </w:rPr>
        <w:br w:type="textWrapping"/>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1C78"/>
    <w:rsid w:val="000079D6"/>
    <w:rsid w:val="0001217E"/>
    <w:rsid w:val="00054647"/>
    <w:rsid w:val="00084495"/>
    <w:rsid w:val="000F2E59"/>
    <w:rsid w:val="000F3784"/>
    <w:rsid w:val="001573C4"/>
    <w:rsid w:val="00200C7B"/>
    <w:rsid w:val="00247549"/>
    <w:rsid w:val="00260951"/>
    <w:rsid w:val="002640C5"/>
    <w:rsid w:val="00296D96"/>
    <w:rsid w:val="002D73DE"/>
    <w:rsid w:val="002E3A28"/>
    <w:rsid w:val="00365121"/>
    <w:rsid w:val="0039159E"/>
    <w:rsid w:val="0039359D"/>
    <w:rsid w:val="003D59D5"/>
    <w:rsid w:val="003D7D71"/>
    <w:rsid w:val="003E0073"/>
    <w:rsid w:val="003E0809"/>
    <w:rsid w:val="0040008B"/>
    <w:rsid w:val="00404F4B"/>
    <w:rsid w:val="004237D4"/>
    <w:rsid w:val="004C1F14"/>
    <w:rsid w:val="00507228"/>
    <w:rsid w:val="00512767"/>
    <w:rsid w:val="00532D5C"/>
    <w:rsid w:val="00536CF4"/>
    <w:rsid w:val="00555504"/>
    <w:rsid w:val="00563009"/>
    <w:rsid w:val="005705CE"/>
    <w:rsid w:val="005812D9"/>
    <w:rsid w:val="00636B31"/>
    <w:rsid w:val="00642BCE"/>
    <w:rsid w:val="00693B10"/>
    <w:rsid w:val="006A7E96"/>
    <w:rsid w:val="006B27E7"/>
    <w:rsid w:val="006C2687"/>
    <w:rsid w:val="00743CF0"/>
    <w:rsid w:val="00780D1A"/>
    <w:rsid w:val="007F7417"/>
    <w:rsid w:val="008646D9"/>
    <w:rsid w:val="008944E0"/>
    <w:rsid w:val="008B22C3"/>
    <w:rsid w:val="00906BE1"/>
    <w:rsid w:val="009302DF"/>
    <w:rsid w:val="00931070"/>
    <w:rsid w:val="00975035"/>
    <w:rsid w:val="00991012"/>
    <w:rsid w:val="009E570F"/>
    <w:rsid w:val="00A07A21"/>
    <w:rsid w:val="00A145D1"/>
    <w:rsid w:val="00A62DE7"/>
    <w:rsid w:val="00A84612"/>
    <w:rsid w:val="00AE4FCF"/>
    <w:rsid w:val="00B20B1D"/>
    <w:rsid w:val="00B23213"/>
    <w:rsid w:val="00B44012"/>
    <w:rsid w:val="00B92F9D"/>
    <w:rsid w:val="00BA0862"/>
    <w:rsid w:val="00C70404"/>
    <w:rsid w:val="00C839A5"/>
    <w:rsid w:val="00C94BF2"/>
    <w:rsid w:val="00CB6A37"/>
    <w:rsid w:val="00CF5316"/>
    <w:rsid w:val="00D04354"/>
    <w:rsid w:val="00D33E4B"/>
    <w:rsid w:val="00D65564"/>
    <w:rsid w:val="00D93FED"/>
    <w:rsid w:val="00DD2F13"/>
    <w:rsid w:val="00DF3734"/>
    <w:rsid w:val="00E11050"/>
    <w:rsid w:val="00E37CDC"/>
    <w:rsid w:val="00E53740"/>
    <w:rsid w:val="00E7666F"/>
    <w:rsid w:val="00EB7C5D"/>
    <w:rsid w:val="00ED68D8"/>
    <w:rsid w:val="00F03F3A"/>
    <w:rsid w:val="00F05B48"/>
    <w:rsid w:val="00F215BB"/>
    <w:rsid w:val="00F62D7B"/>
    <w:rsid w:val="00F8289D"/>
    <w:rsid w:val="00F95F54"/>
    <w:rsid w:val="00FA1BDA"/>
    <w:rsid w:val="00FB146C"/>
    <w:rsid w:val="00FC5129"/>
    <w:rsid w:val="00FD1C78"/>
    <w:rsid w:val="00FE5702"/>
    <w:rsid w:val="296F6A8C"/>
    <w:rsid w:val="3BD7032B"/>
    <w:rsid w:val="45D86566"/>
    <w:rsid w:val="5A7066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MS Sans Serif" w:eastAsia="仿宋_GB2312" w:cs="Times New Roman"/>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365</Words>
  <Characters>2085</Characters>
  <Lines>17</Lines>
  <Paragraphs>4</Paragraphs>
  <TotalTime>0</TotalTime>
  <ScaleCrop>false</ScaleCrop>
  <LinksUpToDate>false</LinksUpToDate>
  <CharactersWithSpaces>2446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2013-08-14T03:53:00Z</dcterms:created>
  <dc:creator>yc</dc:creator>
  <cp:lastModifiedBy>TF-PC</cp:lastModifiedBy>
  <dcterms:modified xsi:type="dcterms:W3CDTF">2018-08-27T09:41:32Z</dcterms:modified>
  <dc:title>                                    院   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