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800" w:lineRule="exact"/>
        <w:jc w:val="center"/>
        <w:rPr>
          <w:rFonts w:ascii="楷体_GB2312"/>
          <w:b/>
          <w:bCs/>
          <w:sz w:val="44"/>
        </w:rPr>
      </w:pPr>
      <w:bookmarkStart w:id="0" w:name="_GoBack"/>
      <w:bookmarkEnd w:id="0"/>
      <w:r>
        <w:rPr>
          <w:rFonts w:hint="eastAsia" w:ascii="楷体_GB2312"/>
          <w:b/>
          <w:bCs/>
          <w:sz w:val="44"/>
        </w:rPr>
        <w:t>天津市河东区人民法院</w:t>
      </w:r>
    </w:p>
    <w:p>
      <w:pPr>
        <w:spacing w:line="800" w:lineRule="exact"/>
        <w:jc w:val="center"/>
        <w:rPr>
          <w:rFonts w:hint="eastAsia" w:ascii="黑体"/>
          <w:b/>
          <w:bCs/>
          <w:sz w:val="52"/>
          <w:szCs w:val="52"/>
        </w:rPr>
      </w:pPr>
      <w:r>
        <w:rPr>
          <w:rFonts w:hint="eastAsia" w:ascii="黑体"/>
          <w:b/>
          <w:bCs/>
          <w:sz w:val="52"/>
          <w:szCs w:val="52"/>
        </w:rPr>
        <w:t>刑 事 判 决 书</w:t>
      </w:r>
    </w:p>
    <w:p>
      <w:pPr>
        <w:spacing w:line="500" w:lineRule="exact"/>
        <w:jc w:val="both"/>
        <w:rPr>
          <w:rFonts w:hint="eastAsia" w:ascii="仿宋_GB2312" w:eastAsia="仿宋_GB2312"/>
          <w:sz w:val="32"/>
          <w:szCs w:val="32"/>
        </w:rPr>
      </w:pPr>
    </w:p>
    <w:p>
      <w:pPr>
        <w:spacing w:line="520" w:lineRule="exact"/>
        <w:ind w:firstLine="640" w:firstLineChars="200"/>
        <w:jc w:val="right"/>
        <w:rPr>
          <w:rFonts w:hint="eastAsia" w:ascii="仿宋_GB2312" w:eastAsia="仿宋_GB2312"/>
          <w:sz w:val="32"/>
          <w:szCs w:val="32"/>
        </w:rPr>
      </w:pPr>
      <w:r>
        <w:rPr>
          <w:rFonts w:hint="eastAsia" w:ascii="仿宋_GB2312" w:eastAsia="仿宋_GB2312"/>
          <w:sz w:val="32"/>
          <w:szCs w:val="32"/>
        </w:rPr>
        <w:t>（2017）津0102刑初31号</w:t>
      </w:r>
    </w:p>
    <w:p>
      <w:pPr>
        <w:spacing w:line="440" w:lineRule="exact"/>
        <w:ind w:firstLine="640" w:firstLineChars="200"/>
        <w:jc w:val="both"/>
        <w:rPr>
          <w:rFonts w:hint="eastAsia" w:ascii="仿宋_GB2312" w:eastAsia="仿宋_GB2312" w:cs="宋体"/>
          <w:color w:val="000000"/>
          <w:sz w:val="32"/>
          <w:szCs w:val="32"/>
          <w:lang w:val="zh-CN"/>
        </w:rPr>
      </w:pPr>
      <w:r>
        <w:rPr>
          <w:rFonts w:hint="eastAsia" w:ascii="仿宋_GB2312" w:eastAsia="仿宋_GB2312" w:cs="宋体"/>
          <w:color w:val="000000"/>
          <w:sz w:val="32"/>
          <w:szCs w:val="32"/>
          <w:lang w:val="zh-CN"/>
        </w:rPr>
        <w:t>公诉机关天津市河东区人民检察院。</w:t>
      </w:r>
    </w:p>
    <w:p>
      <w:pPr>
        <w:spacing w:line="440" w:lineRule="exact"/>
        <w:ind w:firstLine="640" w:firstLineChars="200"/>
        <w:jc w:val="both"/>
        <w:rPr>
          <w:rFonts w:hint="eastAsia" w:ascii="仿宋_GB2312" w:eastAsia="仿宋_GB2312" w:cs="宋体"/>
          <w:color w:val="000000"/>
          <w:sz w:val="32"/>
          <w:szCs w:val="32"/>
          <w:lang w:val="zh-CN"/>
        </w:rPr>
      </w:pPr>
      <w:r>
        <w:rPr>
          <w:rFonts w:hint="eastAsia" w:ascii="仿宋_GB2312" w:eastAsia="仿宋_GB2312" w:cs="宋体"/>
          <w:color w:val="000000"/>
          <w:sz w:val="32"/>
          <w:szCs w:val="32"/>
          <w:lang w:val="zh-CN"/>
        </w:rPr>
        <w:t>被告人刘静，女，1981年5月2日出生于天津市，汉族，高中文化，无职业，住天津市河东区凤亭路汇英公寓3号楼2门601号，户籍地天津市河东区天山路凤岐东里10号楼2门103号。因涉嫌犯信用卡诈骗罪于2016年10月30日被天津市公安局河东分局刑事拘留，2016年11月4日被天津市公安局河东分局取保候审，2017年1月5日被天津市河东区人民检察院取保候审。</w:t>
      </w:r>
    </w:p>
    <w:p>
      <w:pPr>
        <w:spacing w:line="440" w:lineRule="exact"/>
        <w:ind w:firstLine="640" w:firstLineChars="200"/>
        <w:jc w:val="both"/>
        <w:rPr>
          <w:rFonts w:hint="eastAsia" w:ascii="仿宋_GB2312" w:eastAsia="仿宋_GB2312" w:cs="宋体"/>
          <w:color w:val="000000"/>
          <w:sz w:val="32"/>
          <w:szCs w:val="32"/>
          <w:lang w:val="zh-CN"/>
        </w:rPr>
      </w:pPr>
      <w:r>
        <w:rPr>
          <w:rFonts w:hint="eastAsia" w:ascii="仿宋_GB2312" w:eastAsia="仿宋_GB2312" w:cs="宋体"/>
          <w:color w:val="000000"/>
          <w:sz w:val="32"/>
          <w:szCs w:val="32"/>
          <w:lang w:val="zh-CN"/>
        </w:rPr>
        <w:t>被告人刘静不请辩护人，自行辩护。</w:t>
      </w:r>
    </w:p>
    <w:p>
      <w:pPr>
        <w:spacing w:line="440" w:lineRule="exact"/>
        <w:ind w:firstLine="640" w:firstLineChars="200"/>
        <w:jc w:val="both"/>
        <w:rPr>
          <w:rFonts w:hint="eastAsia" w:ascii="仿宋_GB2312" w:eastAsia="仿宋_GB2312" w:cs="宋体"/>
          <w:color w:val="000000"/>
          <w:sz w:val="32"/>
          <w:szCs w:val="32"/>
          <w:lang w:val="zh-CN"/>
        </w:rPr>
      </w:pPr>
      <w:r>
        <w:rPr>
          <w:rFonts w:hint="eastAsia" w:ascii="仿宋_GB2312" w:eastAsia="仿宋_GB2312" w:cs="宋体"/>
          <w:color w:val="000000"/>
          <w:sz w:val="32"/>
          <w:szCs w:val="32"/>
          <w:lang w:val="zh-CN"/>
        </w:rPr>
        <w:t>天津市河东区人民检察院以津东检公诉刑诉（2017）19号起诉书指控被告人刘静犯信用卡诈骗罪，于2017年1月23日向本院提起公诉。本院依法组成合议庭，适用简易程序，公开开庭审理了本案。天津市河东区人民检察院指派代理检察员袁庆丽出庭支持公诉。被告人刘静到庭参加了诉讼。现已审理终结。</w:t>
      </w:r>
    </w:p>
    <w:p>
      <w:pPr>
        <w:spacing w:line="440" w:lineRule="exact"/>
        <w:ind w:firstLine="640" w:firstLineChars="200"/>
        <w:jc w:val="both"/>
        <w:rPr>
          <w:rFonts w:hint="eastAsia" w:ascii="仿宋_GB2312" w:eastAsia="仿宋_GB2312" w:cs="宋体"/>
          <w:color w:val="000000"/>
          <w:sz w:val="32"/>
          <w:szCs w:val="32"/>
          <w:lang w:val="zh-CN"/>
        </w:rPr>
      </w:pPr>
      <w:r>
        <w:rPr>
          <w:rFonts w:hint="eastAsia" w:ascii="仿宋_GB2312" w:eastAsia="仿宋_GB2312" w:cs="宋体"/>
          <w:color w:val="000000"/>
          <w:sz w:val="32"/>
          <w:szCs w:val="32"/>
          <w:lang w:val="zh-CN"/>
        </w:rPr>
        <w:t>经审理查明，被告人刘静于2007年1月、2013年11月申领了招商银行股份有限公司的卡号为6225757586208630和6225780700398376的两张信用卡，信用额度分别为人民币50000元和60000元。自2014年1月起至2015年8月3日，刘静两张信用卡拖欠招商银行股份有限公司本金分别为人民币48767.06元和59965.45元，共计人民币108732.51元，最后一次还款时间分别为2015年8月3日和2015年6月30日，超过还款期限后，招商银行股份有限公司以打电话、发短信、上门催收等方式两次以上催收，刘静超过三个月仍未归还。</w:t>
      </w:r>
    </w:p>
    <w:p>
      <w:pPr>
        <w:spacing w:line="440" w:lineRule="exact"/>
        <w:ind w:firstLine="640" w:firstLineChars="200"/>
        <w:jc w:val="both"/>
        <w:rPr>
          <w:rFonts w:hint="eastAsia" w:ascii="仿宋_GB2312" w:eastAsia="仿宋_GB2312" w:cs="宋体"/>
          <w:color w:val="000000"/>
          <w:sz w:val="32"/>
          <w:szCs w:val="32"/>
          <w:lang w:val="zh-CN"/>
        </w:rPr>
      </w:pPr>
      <w:r>
        <w:rPr>
          <w:rFonts w:hint="eastAsia" w:ascii="仿宋_GB2312" w:eastAsia="仿宋_GB2312" w:cs="宋体"/>
          <w:color w:val="000000"/>
          <w:sz w:val="32"/>
          <w:szCs w:val="32"/>
          <w:lang w:val="zh-CN"/>
        </w:rPr>
        <w:t>招商银行股份有限公司于2016年10月25日向公安机关报案。被告人刘静于2016年10月30日到公安机关投案，并如实供述了自己的罪行。刘静的亲属于2016年10月31日归还了两张银行卡拖欠的全部本金和利息。</w:t>
      </w:r>
    </w:p>
    <w:p>
      <w:pPr>
        <w:spacing w:line="440" w:lineRule="exact"/>
        <w:ind w:firstLine="640" w:firstLineChars="200"/>
        <w:jc w:val="both"/>
        <w:rPr>
          <w:rFonts w:hint="eastAsia" w:ascii="仿宋_GB2312" w:eastAsia="仿宋_GB2312" w:cs="宋体"/>
          <w:color w:val="000000"/>
          <w:sz w:val="32"/>
          <w:szCs w:val="32"/>
          <w:lang w:val="zh-CN"/>
        </w:rPr>
      </w:pPr>
      <w:r>
        <w:rPr>
          <w:rFonts w:hint="eastAsia" w:ascii="仿宋_GB2312" w:eastAsia="仿宋_GB2312" w:cs="宋体"/>
          <w:color w:val="000000"/>
          <w:sz w:val="32"/>
          <w:szCs w:val="32"/>
          <w:lang w:val="zh-CN"/>
        </w:rPr>
        <w:t>庭审中，被告人刘静对起诉书指控事实不持异议，且有经当庭质证的证人刘丰年、徐明证言，报案材料，授权委托书，情况说明，招商银行股份有限公司提供的相关材料，信用卡账户明细，催收记录，现场催收照片，还款记录，淘宝消费明细，案件来源及抓获经过，户籍材料等证据证实，足以认定。</w:t>
      </w:r>
    </w:p>
    <w:p>
      <w:pPr>
        <w:spacing w:line="440" w:lineRule="exact"/>
        <w:ind w:firstLine="640" w:firstLineChars="200"/>
        <w:jc w:val="both"/>
        <w:rPr>
          <w:rFonts w:hint="eastAsia" w:ascii="仿宋_GB2312" w:eastAsia="仿宋_GB2312" w:cs="宋体"/>
          <w:color w:val="000000"/>
          <w:sz w:val="32"/>
          <w:szCs w:val="32"/>
          <w:lang w:val="zh-CN"/>
        </w:rPr>
      </w:pPr>
      <w:r>
        <w:rPr>
          <w:rFonts w:hint="eastAsia" w:ascii="仿宋_GB2312" w:eastAsia="仿宋_GB2312" w:cs="宋体"/>
          <w:color w:val="000000"/>
          <w:sz w:val="32"/>
          <w:szCs w:val="32"/>
          <w:lang w:val="zh-CN"/>
        </w:rPr>
        <w:t>本院认为，被告人刘静无视国家法律，以非法占有为目的，恶意透支，数额巨大，其行为已构成信用卡诈骗罪，依法应予惩处。公诉机关指控的罪名成立，本院予以确认。被告人刘静系自首，依法可减轻处罚。量刑时综合考虑被告人积极退赔赃款的情节。综上，对被告人刘静依照《中华人民共和国刑法》第一百九十六条第一款第（四）项、第二款、第六十七条第一款、第七十二条第一、三款、第七十六条之规定，判决如下：</w:t>
      </w:r>
    </w:p>
    <w:p>
      <w:pPr>
        <w:spacing w:line="440" w:lineRule="exact"/>
        <w:ind w:firstLine="640" w:firstLineChars="200"/>
        <w:jc w:val="both"/>
        <w:rPr>
          <w:rFonts w:hint="eastAsia" w:ascii="仿宋_GB2312" w:eastAsia="仿宋_GB2312" w:cs="宋体"/>
          <w:color w:val="000000"/>
          <w:sz w:val="32"/>
          <w:szCs w:val="32"/>
          <w:lang w:val="zh-CN"/>
        </w:rPr>
      </w:pPr>
      <w:r>
        <w:rPr>
          <w:rFonts w:hint="eastAsia" w:ascii="仿宋_GB2312" w:eastAsia="仿宋_GB2312" w:cs="宋体"/>
          <w:color w:val="000000"/>
          <w:sz w:val="32"/>
          <w:szCs w:val="32"/>
          <w:lang w:val="zh-CN"/>
        </w:rPr>
        <w:t>被告人刘静犯信用卡诈骗罪，判处有期徒刑三年，缓刑三年，并处罚金人民币60000元。缓刑考验期限内依法实行社区矫正。</w:t>
      </w:r>
    </w:p>
    <w:p>
      <w:pPr>
        <w:spacing w:line="440" w:lineRule="exact"/>
        <w:ind w:firstLine="640" w:firstLineChars="200"/>
        <w:jc w:val="both"/>
        <w:rPr>
          <w:rFonts w:hint="eastAsia" w:ascii="仿宋_GB2312" w:eastAsia="仿宋_GB2312" w:cs="宋体"/>
          <w:color w:val="000000"/>
          <w:sz w:val="32"/>
          <w:szCs w:val="32"/>
          <w:lang w:val="zh-CN"/>
        </w:rPr>
      </w:pPr>
      <w:r>
        <w:rPr>
          <w:rFonts w:hint="eastAsia" w:ascii="仿宋_GB2312" w:eastAsia="仿宋_GB2312" w:cs="宋体"/>
          <w:color w:val="000000"/>
          <w:sz w:val="32"/>
          <w:szCs w:val="32"/>
          <w:lang w:val="zh-CN"/>
        </w:rPr>
        <w:t>（缓刑考验期限，从判决确定之日起计算）</w:t>
      </w:r>
    </w:p>
    <w:p>
      <w:pPr>
        <w:spacing w:line="440" w:lineRule="exact"/>
        <w:ind w:firstLine="640" w:firstLineChars="200"/>
        <w:jc w:val="both"/>
        <w:rPr>
          <w:rFonts w:hint="eastAsia" w:ascii="仿宋_GB2312" w:eastAsia="仿宋_GB2312" w:cs="宋体"/>
          <w:color w:val="000000"/>
          <w:sz w:val="32"/>
          <w:szCs w:val="32"/>
          <w:lang w:val="zh-CN"/>
        </w:rPr>
      </w:pPr>
      <w:r>
        <w:rPr>
          <w:rFonts w:hint="eastAsia" w:ascii="仿宋_GB2312" w:eastAsia="仿宋_GB2312" w:cs="宋体"/>
          <w:color w:val="000000"/>
          <w:sz w:val="32"/>
          <w:szCs w:val="32"/>
          <w:lang w:val="zh-CN"/>
        </w:rPr>
        <w:t>如不服本判决，可于接到判决书的第二日起十日内通过本院或直接向天津市第二中级人民法院提出上诉。书面上诉的，应提交上诉状正本一份，副本两份。</w:t>
      </w:r>
    </w:p>
    <w:p>
      <w:pPr>
        <w:spacing w:line="440" w:lineRule="exact"/>
        <w:ind w:firstLine="640" w:firstLineChars="200"/>
        <w:jc w:val="both"/>
        <w:rPr>
          <w:rFonts w:hint="eastAsia" w:ascii="仿宋_GB2312" w:eastAsia="仿宋_GB2312" w:cs="宋体"/>
          <w:color w:val="000000"/>
          <w:sz w:val="32"/>
          <w:szCs w:val="32"/>
          <w:lang w:val="zh-CN"/>
        </w:rPr>
      </w:pPr>
    </w:p>
    <w:p>
      <w:pPr>
        <w:wordWrap w:val="0"/>
        <w:spacing w:line="460" w:lineRule="exact"/>
        <w:ind w:firstLine="640" w:firstLineChars="200"/>
        <w:jc w:val="right"/>
        <w:rPr>
          <w:rFonts w:hint="eastAsia" w:ascii="仿宋_GB2312" w:eastAsia="仿宋_GB2312"/>
          <w:sz w:val="32"/>
          <w:szCs w:val="32"/>
        </w:rPr>
      </w:pPr>
      <w:r>
        <w:rPr>
          <w:rFonts w:hint="eastAsia" w:ascii="仿宋_GB2312" w:eastAsia="仿宋_GB2312"/>
          <w:sz w:val="32"/>
          <w:szCs w:val="32"/>
        </w:rPr>
        <w:t xml:space="preserve">               审  判  长     董娇华</w:t>
      </w:r>
    </w:p>
    <w:p>
      <w:pPr>
        <w:wordWrap w:val="0"/>
        <w:spacing w:line="460" w:lineRule="exact"/>
        <w:ind w:firstLine="640" w:firstLineChars="200"/>
        <w:jc w:val="right"/>
        <w:rPr>
          <w:rFonts w:hint="eastAsia" w:ascii="仿宋_GB2312" w:eastAsia="仿宋_GB2312"/>
          <w:sz w:val="32"/>
          <w:szCs w:val="32"/>
        </w:rPr>
      </w:pPr>
      <w:r>
        <w:rPr>
          <w:rFonts w:hint="eastAsia" w:ascii="仿宋_GB2312" w:eastAsia="仿宋_GB2312"/>
          <w:sz w:val="32"/>
          <w:szCs w:val="32"/>
        </w:rPr>
        <w:t>代理审判员     冯中婷</w:t>
      </w:r>
    </w:p>
    <w:p>
      <w:pPr>
        <w:wordWrap w:val="0"/>
        <w:spacing w:line="460" w:lineRule="exact"/>
        <w:ind w:firstLine="640" w:firstLineChars="200"/>
        <w:jc w:val="right"/>
        <w:rPr>
          <w:rFonts w:hint="eastAsia" w:ascii="仿宋_GB2312" w:eastAsia="仿宋_GB2312"/>
          <w:sz w:val="32"/>
          <w:szCs w:val="32"/>
        </w:rPr>
      </w:pPr>
      <w:r>
        <w:rPr>
          <w:rFonts w:hint="eastAsia" w:ascii="仿宋_GB2312" w:eastAsia="仿宋_GB2312"/>
          <w:sz w:val="32"/>
          <w:szCs w:val="32"/>
        </w:rPr>
        <w:t>人民陪审员     李树钢</w:t>
      </w:r>
    </w:p>
    <w:p>
      <w:pPr>
        <w:wordWrap w:val="0"/>
        <w:spacing w:line="460" w:lineRule="exact"/>
        <w:ind w:firstLine="640" w:firstLineChars="200"/>
        <w:jc w:val="right"/>
        <w:rPr>
          <w:rFonts w:hint="eastAsia" w:ascii="仿宋_GB2312" w:eastAsia="仿宋_GB2312"/>
          <w:sz w:val="32"/>
          <w:szCs w:val="32"/>
        </w:rPr>
      </w:pPr>
      <w:r>
        <w:rPr>
          <w:rFonts w:hint="eastAsia" w:ascii="仿宋_GB2312" w:eastAsia="仿宋_GB2312"/>
          <w:sz w:val="32"/>
          <w:szCs w:val="32"/>
        </w:rPr>
        <w:t>本件与原件核对无异        二○一七年二月十七日</w:t>
      </w:r>
    </w:p>
    <w:p>
      <w:pPr>
        <w:wordWrap w:val="0"/>
        <w:spacing w:line="460" w:lineRule="exact"/>
        <w:ind w:firstLine="640" w:firstLineChars="200"/>
        <w:jc w:val="right"/>
        <w:rPr>
          <w:rFonts w:hint="eastAsia" w:ascii="仿宋_GB2312" w:eastAsia="仿宋_GB2312"/>
          <w:sz w:val="32"/>
          <w:szCs w:val="32"/>
        </w:rPr>
      </w:pPr>
      <w:r>
        <w:rPr>
          <w:rFonts w:hint="eastAsia" w:ascii="仿宋_GB2312" w:eastAsia="仿宋_GB2312"/>
          <w:sz w:val="32"/>
          <w:szCs w:val="32"/>
        </w:rPr>
        <w:t>书  记  员     王双悦</w:t>
      </w:r>
    </w:p>
    <w:sectPr>
      <w:footerReference r:id="rId3" w:type="default"/>
      <w:footerReference r:id="rId4" w:type="even"/>
      <w:endnotePr>
        <w:numFmt w:val="decimal"/>
        <w:numStart w:val="0"/>
      </w:endnotePr>
      <w:pgSz w:w="11907" w:h="16840"/>
      <w:pgMar w:top="1701" w:right="1418" w:bottom="1701" w:left="1701" w:header="0" w:footer="1361" w:gutter="0"/>
      <w:cols w:space="425"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仿宋_GB2312">
    <w:altName w:val="仿宋"/>
    <w:panose1 w:val="02010609030101010101"/>
    <w:charset w:val="86"/>
    <w:family w:val="modern"/>
    <w:pitch w:val="default"/>
    <w:sig w:usb0="00000000" w:usb1="00000000" w:usb2="00000010" w:usb3="00000000" w:csb0="00040000"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center" w:y="1"/>
      <w:rPr>
        <w:rStyle w:val="8"/>
      </w:rPr>
    </w:pPr>
    <w:r>
      <w:rPr>
        <w:rStyle w:val="8"/>
      </w:rPr>
      <w:fldChar w:fldCharType="begin"/>
    </w:r>
    <w:r>
      <w:rPr>
        <w:rStyle w:val="8"/>
      </w:rPr>
      <w:instrText xml:space="preserve">PAGE  </w:instrText>
    </w:r>
    <w:r>
      <w:rPr>
        <w:rStyle w:val="8"/>
      </w:rPr>
      <w:fldChar w:fldCharType="separate"/>
    </w:r>
    <w:r>
      <w:rPr>
        <w:rStyle w:val="8"/>
      </w:rPr>
      <w:t>2</w:t>
    </w:r>
    <w:r>
      <w:rPr>
        <w:rStyle w:val="8"/>
      </w:rPr>
      <w:fldChar w:fldCharType="end"/>
    </w:r>
  </w:p>
  <w:p>
    <w:pPr>
      <w:pStyle w:val="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center" w:y="1"/>
      <w:rPr>
        <w:rStyle w:val="8"/>
      </w:rPr>
    </w:pPr>
    <w:r>
      <w:rPr>
        <w:rStyle w:val="8"/>
      </w:rPr>
      <w:fldChar w:fldCharType="begin"/>
    </w:r>
    <w:r>
      <w:rPr>
        <w:rStyle w:val="8"/>
      </w:rPr>
      <w:instrText xml:space="preserve">PAGE  </w:instrText>
    </w:r>
    <w:r>
      <w:rPr>
        <w:rStyle w:val="8"/>
      </w:rPr>
      <w:fldChar w:fldCharType="end"/>
    </w:r>
  </w:p>
  <w:p>
    <w:pPr>
      <w:pStyle w:val="5"/>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0"/>
  <w:doNotHyphenateCaps/>
  <w:drawingGridHorizontalSpacing w:val="0"/>
  <w:drawingGridVerticalSpacing w:val="0"/>
  <w:displayHorizontalDrawingGridEvery w:val="0"/>
  <w:displayVerticalDrawingGridEvery w:val="0"/>
  <w:doNotUseMarginsForDrawingGridOrigin w:val="1"/>
  <w:drawingGridHorizontalOrigin w:val="0"/>
  <w:drawingGridVerticalOrigin w:val="0"/>
  <w:doNotShadeFormData w:val="1"/>
  <w:noPunctuationKerning w:val="1"/>
  <w:characterSpacingControl w:val="doNotCompress"/>
  <w:endnotePr>
    <w:pos w:val="sectEnd"/>
    <w:numFmt w:val="decimal"/>
    <w:numStart w:val="0"/>
  </w:endnotePr>
  <w:compat>
    <w:spaceForUL/>
    <w:balanceSingleByteDoubleByteWidth/>
    <w:doNotLeaveBackslashAlone/>
    <w:ulTrailSpace/>
    <w:doNotExpandShiftReturn/>
    <w:usePrinterMetrics/>
    <w:doNotSuppressParagraphBorders/>
    <w:footnoteLayoutLikeWW8/>
    <w:shapeLayoutLikeWW8/>
    <w:alignTablesRowByRow/>
    <w:forgetLastTabAlignment/>
    <w:autoSpaceLikeWord95/>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00000"/>
    <w:rsid w:val="178A0506"/>
    <w:rsid w:val="223A5C53"/>
    <w:rsid w:val="429D1E20"/>
    <w:rsid w:val="4BA9600B"/>
    <w:rsid w:val="573650A5"/>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djustRightInd w:val="0"/>
      <w:textAlignment w:val="baseline"/>
    </w:pPr>
    <w:rPr>
      <w:rFonts w:ascii="Times New Roman" w:hAnsi="Times New Roman" w:eastAsia="宋体" w:cs="Times New Roman"/>
      <w:sz w:val="21"/>
      <w:lang w:val="en-US" w:eastAsia="zh-CN" w:bidi="ar-SA"/>
    </w:rPr>
  </w:style>
  <w:style w:type="character" w:default="1" w:styleId="7">
    <w:name w:val="Default Paragraph Font"/>
    <w:semiHidden/>
    <w:uiPriority w:val="0"/>
  </w:style>
  <w:style w:type="table" w:default="1" w:styleId="9">
    <w:name w:val="Normal Table"/>
    <w:semiHidden/>
    <w:uiPriority w:val="0"/>
    <w:tblPr>
      <w:tblLayout w:type="fixed"/>
      <w:tblCellMar>
        <w:top w:w="0" w:type="dxa"/>
        <w:left w:w="108" w:type="dxa"/>
        <w:bottom w:w="0" w:type="dxa"/>
        <w:right w:w="108" w:type="dxa"/>
      </w:tblCellMar>
    </w:tblPr>
  </w:style>
  <w:style w:type="paragraph" w:styleId="2">
    <w:name w:val="Body Text Indent"/>
    <w:basedOn w:val="1"/>
    <w:uiPriority w:val="0"/>
    <w:pPr>
      <w:adjustRightInd/>
      <w:spacing w:line="360" w:lineRule="auto"/>
      <w:ind w:firstLine="640" w:firstLineChars="200"/>
      <w:jc w:val="both"/>
      <w:textAlignment w:val="auto"/>
    </w:pPr>
    <w:rPr>
      <w:rFonts w:ascii="仿宋_GB2312" w:eastAsia="仿宋_GB2312"/>
      <w:kern w:val="2"/>
      <w:sz w:val="32"/>
      <w:szCs w:val="24"/>
    </w:rPr>
  </w:style>
  <w:style w:type="paragraph" w:styleId="3">
    <w:name w:val="Date"/>
    <w:basedOn w:val="1"/>
    <w:next w:val="1"/>
    <w:qFormat/>
    <w:uiPriority w:val="0"/>
    <w:pPr>
      <w:ind w:left="100" w:leftChars="2500"/>
    </w:pPr>
  </w:style>
  <w:style w:type="paragraph" w:styleId="4">
    <w:name w:val="Body Text Indent 2"/>
    <w:basedOn w:val="1"/>
    <w:uiPriority w:val="0"/>
    <w:pPr>
      <w:adjustRightInd/>
      <w:spacing w:line="520" w:lineRule="exact"/>
      <w:ind w:firstLine="645"/>
      <w:jc w:val="both"/>
      <w:textAlignment w:val="auto"/>
    </w:pPr>
    <w:rPr>
      <w:rFonts w:ascii="仿宋_GB2312" w:eastAsia="仿宋_GB2312"/>
      <w:kern w:val="2"/>
      <w:sz w:val="32"/>
      <w:szCs w:val="24"/>
    </w:rPr>
  </w:style>
  <w:style w:type="paragraph" w:styleId="5">
    <w:name w:val="footer"/>
    <w:basedOn w:val="1"/>
    <w:uiPriority w:val="0"/>
    <w:pPr>
      <w:tabs>
        <w:tab w:val="center" w:pos="4153"/>
        <w:tab w:val="right" w:pos="8306"/>
      </w:tabs>
      <w:snapToGrid w:val="0"/>
    </w:pPr>
    <w:rPr>
      <w:sz w:val="18"/>
      <w:szCs w:val="18"/>
    </w:rPr>
  </w:style>
  <w:style w:type="paragraph" w:styleId="6">
    <w:name w:val="header"/>
    <w:basedOn w:val="1"/>
    <w:uiPriority w:val="0"/>
    <w:pPr>
      <w:pBdr>
        <w:bottom w:val="single" w:color="auto" w:sz="6" w:space="1"/>
      </w:pBdr>
      <w:tabs>
        <w:tab w:val="center" w:pos="4153"/>
        <w:tab w:val="right" w:pos="8306"/>
      </w:tabs>
      <w:snapToGrid w:val="0"/>
      <w:jc w:val="center"/>
    </w:pPr>
    <w:rPr>
      <w:sz w:val="18"/>
      <w:szCs w:val="18"/>
    </w:rPr>
  </w:style>
  <w:style w:type="character" w:styleId="8">
    <w:name w:val="page number"/>
    <w:basedOn w:val="7"/>
    <w:uiPriority w:val="0"/>
  </w:style>
  <w:style w:type="table" w:styleId="10">
    <w:name w:val="Table Grid"/>
    <w:basedOn w:val="9"/>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1">
    <w:name w:val="Y_段"/>
    <w:qFormat/>
    <w:uiPriority w:val="0"/>
    <w:pPr>
      <w:spacing w:line="300" w:lineRule="auto"/>
      <w:ind w:firstLine="200" w:firstLineChars="200"/>
      <w:jc w:val="both"/>
    </w:pPr>
    <w:rPr>
      <w:rFonts w:ascii="宋体" w:hAnsi="Calibri" w:eastAsia="宋体" w:cs="Times New Roman"/>
      <w:sz w:val="24"/>
      <w:szCs w:val="21"/>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刑庭</Company>
  <Pages>2</Pages>
  <Words>201</Words>
  <Characters>1147</Characters>
  <Lines>9</Lines>
  <Paragraphs>2</Paragraphs>
  <TotalTime>0</TotalTime>
  <ScaleCrop>false</ScaleCrop>
  <LinksUpToDate>false</LinksUpToDate>
  <CharactersWithSpaces>1346</CharactersWithSpaces>
  <Application>WPS Office_10.1.0.7401_F1E327BC-269C-435d-A152-05C5408002CA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2017-02-09T05:03:00Z</dcterms:created>
  <dc:creator>刑庭</dc:creator>
  <cp:lastModifiedBy>TF-PC</cp:lastModifiedBy>
  <cp:lastPrinted>2017-02-17T00:52:00Z</cp:lastPrinted>
  <dcterms:modified xsi:type="dcterms:W3CDTF">2018-08-27T09:41:36Z</dcterms:modified>
  <dc:title>天津市河东区人民法院</dc:title>
  <cp:revision>24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2052-10.1.0.7401</vt:lpwstr>
  </property>
</Properties>
</file>