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0" w:name="_GoBack"/>
      <w:bookmarkEnd w:id="0"/>
      <w:r>
        <w:rPr>
          <w:rFonts w:hint="eastAsia" w:eastAsia="宋体"/>
          <w:sz w:val="44"/>
        </w:rPr>
        <w:t>天津市东丽区人民法院</w:t>
      </w:r>
    </w:p>
    <w:p>
      <w:pPr>
        <w:spacing w:line="800" w:lineRule="exact"/>
        <w:jc w:val="center"/>
        <w:rPr>
          <w:rFonts w:hint="eastAsia" w:eastAsia="黑体"/>
          <w:sz w:val="52"/>
        </w:rPr>
      </w:pPr>
      <w:r>
        <w:rPr>
          <w:rFonts w:hint="eastAsia" w:eastAsia="宋体"/>
          <w:spacing w:val="50"/>
          <w:sz w:val="52"/>
        </w:rPr>
        <w:t xml:space="preserve"> 刑 事 判 决 书</w:t>
      </w:r>
    </w:p>
    <w:p>
      <w:pPr>
        <w:spacing w:line="800" w:lineRule="exact"/>
        <w:jc w:val="right"/>
        <w:rPr>
          <w:rFonts w:hint="eastAsia"/>
          <w:spacing w:val="-20"/>
        </w:rPr>
      </w:pPr>
      <w:r>
        <w:rPr>
          <w:rFonts w:hint="eastAsia"/>
          <w:spacing w:val="-20"/>
        </w:rPr>
        <w:t xml:space="preserve">                                          </w:t>
      </w:r>
      <w:r>
        <w:rPr>
          <w:rFonts w:hint="eastAsia" w:ascii="仿宋_GB2312"/>
          <w:spacing w:val="-20"/>
        </w:rPr>
        <w:t>（2015）</w:t>
      </w:r>
      <w:r>
        <w:rPr>
          <w:rFonts w:hint="eastAsia"/>
          <w:spacing w:val="-20"/>
        </w:rPr>
        <w:t>丽刑初字第587号</w:t>
      </w:r>
    </w:p>
    <w:p>
      <w:pPr>
        <w:spacing w:line="520" w:lineRule="exact"/>
        <w:ind w:firstLine="646"/>
        <w:rPr>
          <w:rFonts w:hint="eastAsia" w:ascii="仿宋_GB2312"/>
          <w:spacing w:val="-20"/>
        </w:rPr>
      </w:pPr>
    </w:p>
    <w:p>
      <w:pPr>
        <w:spacing w:line="520" w:lineRule="exact"/>
        <w:ind w:firstLine="650" w:firstLineChars="200"/>
        <w:rPr>
          <w:rFonts w:hint="eastAsia" w:ascii="仿宋_GB2312" w:hAnsi="宋体"/>
          <w:szCs w:val="32"/>
        </w:rPr>
      </w:pPr>
      <w:r>
        <w:rPr>
          <w:rFonts w:hint="eastAsia" w:ascii="仿宋_GB2312" w:hAnsi="宋体"/>
          <w:szCs w:val="32"/>
        </w:rPr>
        <w:t>公诉机关天津市东丽区人民检察院。</w:t>
      </w:r>
    </w:p>
    <w:p>
      <w:pPr>
        <w:spacing w:line="520" w:lineRule="exact"/>
        <w:ind w:firstLine="650" w:firstLineChars="200"/>
        <w:rPr>
          <w:rFonts w:ascii="仿宋_GB2312" w:hAnsi="宋体"/>
          <w:szCs w:val="32"/>
        </w:rPr>
      </w:pPr>
      <w:r>
        <w:rPr>
          <w:rFonts w:hint="eastAsia" w:ascii="仿宋_GB2312" w:hAnsi="宋体"/>
          <w:szCs w:val="32"/>
        </w:rPr>
        <w:t>被告人吴桂秋（身份证号码120108196809011048），女，1968年9月1日出生于天津市，汉族，中专文化，系天津渤海化工有限责任公司职工，住天津市滨海新区二经路五羊里8号楼204号。2014年10月21日因涉嫌犯信用卡诈骗罪被刑事拘留，同年10月27日被取保候审。</w:t>
      </w:r>
    </w:p>
    <w:p>
      <w:pPr>
        <w:spacing w:line="520" w:lineRule="exact"/>
        <w:ind w:firstLine="650" w:firstLineChars="200"/>
        <w:rPr>
          <w:rFonts w:hint="eastAsia" w:ascii="仿宋_GB2312" w:hAnsi="宋体"/>
          <w:szCs w:val="32"/>
        </w:rPr>
      </w:pPr>
      <w:r>
        <w:rPr>
          <w:rFonts w:hint="eastAsia" w:ascii="仿宋_GB2312" w:hAnsi="宋体"/>
          <w:szCs w:val="32"/>
        </w:rPr>
        <w:t>天津市东丽区人民检察院以津丽检公诉刑诉（2015）523号起诉书指控被告人吴桂秋犯</w:t>
      </w:r>
      <w:r>
        <w:rPr>
          <w:rFonts w:hint="eastAsia" w:ascii="宋体" w:hAnsi="宋体"/>
        </w:rPr>
        <w:t>信用卡诈骗</w:t>
      </w:r>
      <w:r>
        <w:rPr>
          <w:rFonts w:hint="eastAsia" w:ascii="仿宋_GB2312" w:hAnsi="宋体"/>
          <w:szCs w:val="32"/>
        </w:rPr>
        <w:t>罪，于2015年7月7日向本院提起公诉。</w:t>
      </w:r>
      <w:r>
        <w:rPr>
          <w:rFonts w:hint="eastAsia" w:ascii="仿宋_GB2312"/>
        </w:rPr>
        <w:t>本院依法组成合议庭，公开开庭审理了本案。</w:t>
      </w:r>
      <w:r>
        <w:rPr>
          <w:rFonts w:hint="eastAsia" w:ascii="宋体" w:hAnsi="宋体"/>
        </w:rPr>
        <w:t>天津市东丽区人民检察院指派</w:t>
      </w:r>
      <w:r>
        <w:rPr>
          <w:rFonts w:hint="eastAsia" w:ascii="仿宋_GB2312" w:hAnsi="宋体"/>
          <w:szCs w:val="32"/>
        </w:rPr>
        <w:t>代理检察员胡西茂出庭支持公诉，被告人</w:t>
      </w:r>
      <w:r>
        <w:rPr>
          <w:rFonts w:hint="eastAsia" w:ascii="宋体" w:hAnsi="宋体"/>
        </w:rPr>
        <w:t>吴桂秋</w:t>
      </w:r>
      <w:r>
        <w:rPr>
          <w:rFonts w:hint="eastAsia" w:ascii="仿宋_GB2312" w:hAnsi="宋体"/>
          <w:szCs w:val="32"/>
        </w:rPr>
        <w:t>到庭参加诉讼。现已审理终结。</w:t>
      </w:r>
    </w:p>
    <w:p>
      <w:pPr>
        <w:snapToGrid w:val="0"/>
        <w:spacing w:line="520" w:lineRule="exact"/>
        <w:ind w:firstLine="650" w:firstLineChars="200"/>
        <w:rPr>
          <w:rFonts w:hint="eastAsia" w:ascii="仿宋_GB2312" w:hAnsi="宋体"/>
          <w:szCs w:val="32"/>
        </w:rPr>
      </w:pPr>
      <w:r>
        <w:rPr>
          <w:rFonts w:hint="eastAsia" w:ascii="仿宋_GB2312" w:hAnsi="宋体"/>
          <w:szCs w:val="32"/>
        </w:rPr>
        <w:t>经审理查明，2012年7月，被告人吴桂秋通过中介在中国银行股份有限公司天津市分行津钢支行申领了信用卡一张（户名：吴桂秋，卡号：4096703035809769），信用额度为人民币10万元。2012年9月7日开卡使用，至2013年3月25日最后一次还款，被告人吴桂秋透支该信用卡本金共计人民币99458元，后经发卡银行两次催收后超过三个月仍未还款。2014年10月21日，被告人吴桂秋被公安机关抓获归案，同年10月24日其在亲友帮助下归还了全部所欠银行本金和利息、滞纳金。</w:t>
      </w:r>
    </w:p>
    <w:p>
      <w:pPr>
        <w:overflowPunct w:val="0"/>
        <w:spacing w:line="520" w:lineRule="exact"/>
        <w:ind w:firstLine="650" w:firstLineChars="200"/>
        <w:rPr>
          <w:rFonts w:hint="eastAsia" w:ascii="仿宋_GB2312" w:hAnsi="宋体"/>
          <w:szCs w:val="32"/>
        </w:rPr>
      </w:pPr>
      <w:r>
        <w:rPr>
          <w:rFonts w:hint="eastAsia" w:ascii="仿宋_GB2312"/>
        </w:rPr>
        <w:t>上述案件事实，被告人吴桂秋在开庭审理过程中未表异议，且有</w:t>
      </w:r>
      <w:r>
        <w:rPr>
          <w:rFonts w:hint="eastAsia" w:ascii="仿宋_GB2312" w:hAnsi="宋体"/>
          <w:szCs w:val="32"/>
        </w:rPr>
        <w:t>吴桂秋在公安机关的供述，证人蒋智敏、杨桂兰、邵兆强、崔景山、于会英、吴学忠、张宝众的证言，申办信用卡的申请表，银行信用卡交易明细表，银行催收历史记录，被告人吴桂秋的工资收入证明，借条复印件，公安机关出具的案件来源及抓获经过、情况说明，还款证明材料，被告人身份主体证明材料等证据</w:t>
      </w:r>
      <w:r>
        <w:rPr>
          <w:rFonts w:hint="eastAsia" w:ascii="仿宋_GB2312"/>
        </w:rPr>
        <w:t>予以证明，足以认定。</w:t>
      </w:r>
    </w:p>
    <w:p>
      <w:pPr>
        <w:spacing w:line="520" w:lineRule="exact"/>
        <w:ind w:firstLine="650" w:firstLineChars="200"/>
        <w:rPr>
          <w:rFonts w:hint="eastAsia"/>
        </w:rPr>
      </w:pPr>
      <w:r>
        <w:rPr>
          <w:rFonts w:hint="eastAsia"/>
        </w:rPr>
        <w:t>本院认为，</w:t>
      </w:r>
      <w:r>
        <w:rPr>
          <w:rFonts w:hint="eastAsia" w:ascii="仿宋_GB2312" w:hAnsi="宋体"/>
          <w:szCs w:val="32"/>
        </w:rPr>
        <w:t>被告人吴桂秋以非法占有为目的，使用信用卡超过规定期限透支本金共计9万余元，并经发卡银行多次催收后超过三个月仍不归还，系恶意透支，数额较大，其行为已构成信用卡诈骗罪，依法应予处罚。公诉机关指控意见正确，本院予以支持。鉴于吴桂秋归案后能如实供认所犯罪行，认罪悔罪态度较好，且在亲友帮助下已积极归还银行所欠全部本金和利息，故依法可对其从轻处罚。</w:t>
      </w:r>
      <w:r>
        <w:rPr>
          <w:rFonts w:hint="eastAsia" w:ascii="仿宋_GB2312"/>
        </w:rPr>
        <w:t>综上，本院依据《中华人民共和国刑法》第一百九十六条第一款第（四）项、第六十七条第三款、第七十二条、第七十三条、第七十六条之规定，判决如下：</w:t>
      </w:r>
    </w:p>
    <w:p>
      <w:pPr>
        <w:spacing w:line="500" w:lineRule="exact"/>
        <w:ind w:firstLine="650" w:firstLineChars="200"/>
        <w:rPr>
          <w:rFonts w:hint="eastAsia" w:ascii="仿宋_GB2312"/>
        </w:rPr>
      </w:pPr>
      <w:r>
        <w:rPr>
          <w:rFonts w:hint="eastAsia" w:ascii="仿宋_GB2312"/>
        </w:rPr>
        <w:t>被告人</w:t>
      </w:r>
      <w:r>
        <w:rPr>
          <w:rFonts w:hint="eastAsia" w:ascii="仿宋_GB2312" w:hAnsi="宋体"/>
          <w:szCs w:val="32"/>
        </w:rPr>
        <w:t>吴桂秋</w:t>
      </w:r>
      <w:r>
        <w:rPr>
          <w:rFonts w:hint="eastAsia" w:ascii="仿宋_GB2312"/>
        </w:rPr>
        <w:t>犯</w:t>
      </w:r>
      <w:r>
        <w:rPr>
          <w:rFonts w:hint="eastAsia" w:ascii="仿宋_GB2312" w:hAnsi="宋体"/>
          <w:szCs w:val="32"/>
        </w:rPr>
        <w:t>信用卡诈骗</w:t>
      </w:r>
      <w:r>
        <w:rPr>
          <w:rFonts w:hint="eastAsia" w:ascii="仿宋_GB2312"/>
        </w:rPr>
        <w:t>罪，判处有期徒刑二年六个月，缓刑三年，并处罚金人民币20000元。</w:t>
      </w:r>
      <w:r>
        <w:rPr>
          <w:rFonts w:hint="eastAsia" w:ascii="仿宋_GB2312"/>
          <w:szCs w:val="21"/>
        </w:rPr>
        <w:t>在缓刑考验期限内，依法实行社区矫正</w:t>
      </w:r>
      <w:r>
        <w:rPr>
          <w:rFonts w:hint="eastAsia" w:ascii="仿宋_GB2312"/>
        </w:rPr>
        <w:t>（缓刑考验期限自判决确定之日起计算）。</w:t>
      </w:r>
    </w:p>
    <w:p>
      <w:pPr>
        <w:ind w:firstLine="646"/>
        <w:rPr>
          <w:rFonts w:hint="eastAsia" w:ascii="仿宋_GB2312"/>
          <w:kern w:val="10"/>
        </w:rPr>
      </w:pPr>
      <w:r>
        <w:rPr>
          <w:rFonts w:hint="eastAsia" w:ascii="仿宋_GB2312"/>
          <w:kern w:val="10"/>
        </w:rPr>
        <w:t>以上罚金于判决书生效后十日内交付本院。</w:t>
      </w:r>
    </w:p>
    <w:p>
      <w:pPr>
        <w:spacing w:line="520" w:lineRule="exact"/>
        <w:ind w:firstLine="650" w:firstLineChars="200"/>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spacing w:line="520" w:lineRule="exact"/>
        <w:ind w:left="5768" w:leftChars="1775"/>
        <w:rPr>
          <w:rFonts w:hint="eastAsia" w:ascii="仿宋_GB2312"/>
        </w:rPr>
      </w:pPr>
    </w:p>
    <w:p>
      <w:pPr>
        <w:spacing w:line="520" w:lineRule="exact"/>
        <w:rPr>
          <w:rFonts w:hint="eastAsia" w:ascii="仿宋_GB2312"/>
        </w:rPr>
      </w:pPr>
    </w:p>
    <w:p>
      <w:pPr>
        <w:spacing w:line="520" w:lineRule="exact"/>
        <w:rPr>
          <w:rFonts w:hint="eastAsia" w:ascii="仿宋_GB2312"/>
        </w:rPr>
      </w:pPr>
      <w:r>
        <w:rPr>
          <w:rFonts w:hint="eastAsia" w:ascii="仿宋_GB2312"/>
        </w:rPr>
        <w:t>（此页无正文）</w:t>
      </w:r>
    </w:p>
    <w:p>
      <w:pPr>
        <w:spacing w:line="520" w:lineRule="exact"/>
        <w:rPr>
          <w:rFonts w:hint="eastAsia" w:ascii="仿宋_GB2312"/>
        </w:rPr>
      </w:pPr>
    </w:p>
    <w:p>
      <w:pPr>
        <w:spacing w:line="520" w:lineRule="exact"/>
        <w:rPr>
          <w:rFonts w:hint="eastAsia" w:ascii="仿宋_GB2312"/>
        </w:rPr>
      </w:pPr>
    </w:p>
    <w:p>
      <w:pPr>
        <w:spacing w:line="520" w:lineRule="exact"/>
        <w:rPr>
          <w:rFonts w:hint="eastAsia" w:ascii="仿宋_GB2312"/>
        </w:rPr>
      </w:pPr>
    </w:p>
    <w:p>
      <w:pPr>
        <w:spacing w:line="520" w:lineRule="exact"/>
        <w:rPr>
          <w:rFonts w:hint="eastAsia" w:ascii="仿宋_GB2312"/>
        </w:rPr>
      </w:pPr>
    </w:p>
    <w:p>
      <w:pPr>
        <w:spacing w:line="520" w:lineRule="exact"/>
        <w:rPr>
          <w:rFonts w:hint="eastAsia" w:ascii="仿宋_GB2312"/>
        </w:rPr>
      </w:pPr>
    </w:p>
    <w:p>
      <w:pPr>
        <w:spacing w:line="520" w:lineRule="exact"/>
        <w:rPr>
          <w:rFonts w:hint="eastAsia" w:ascii="仿宋_GB2312"/>
        </w:rPr>
      </w:pPr>
    </w:p>
    <w:p>
      <w:pPr>
        <w:spacing w:line="520" w:lineRule="exact"/>
        <w:ind w:firstLine="5460" w:firstLineChars="1680"/>
        <w:rPr>
          <w:rFonts w:hint="eastAsia" w:ascii="仿宋_GB2312"/>
        </w:rPr>
      </w:pPr>
      <w:r>
        <w:rPr>
          <w:rFonts w:hint="eastAsia" w:ascii="仿宋_GB2312"/>
        </w:rPr>
        <w:t xml:space="preserve">审  判  长  张亚玲  </w:t>
      </w:r>
    </w:p>
    <w:p>
      <w:pPr>
        <w:spacing w:line="520" w:lineRule="exact"/>
        <w:ind w:firstLine="5460" w:firstLineChars="1680"/>
        <w:rPr>
          <w:rFonts w:hint="eastAsia" w:ascii="仿宋_GB2312"/>
        </w:rPr>
      </w:pPr>
      <w:r>
        <w:rPr>
          <w:rFonts w:hint="eastAsia" w:ascii="仿宋_GB2312"/>
        </w:rPr>
        <w:t>代理审判员  李  陆</w:t>
      </w:r>
    </w:p>
    <w:p>
      <w:pPr>
        <w:spacing w:line="520" w:lineRule="exact"/>
        <w:ind w:firstLine="5460" w:firstLineChars="1680"/>
        <w:rPr>
          <w:rFonts w:hint="eastAsia" w:ascii="仿宋_GB2312"/>
        </w:rPr>
      </w:pPr>
      <w:r>
        <w:rPr>
          <w:rFonts w:hint="eastAsia" w:ascii="仿宋_GB2312"/>
        </w:rPr>
        <w:t>人民陪审员  李  芸</w:t>
      </w:r>
    </w:p>
    <w:p>
      <w:pPr>
        <w:spacing w:line="520" w:lineRule="exact"/>
        <w:ind w:left="4160" w:firstLine="645"/>
        <w:jc w:val="right"/>
        <w:rPr>
          <w:rFonts w:hint="eastAsia" w:ascii="仿宋_GB2312"/>
        </w:rPr>
      </w:pPr>
    </w:p>
    <w:p>
      <w:pPr>
        <w:spacing w:line="520" w:lineRule="exact"/>
        <w:ind w:left="4153" w:leftChars="1278" w:firstLine="1365" w:firstLineChars="420"/>
        <w:rPr>
          <w:rFonts w:hint="eastAsia" w:ascii="仿宋_GB2312"/>
        </w:rPr>
      </w:pPr>
      <w:r>
        <w:rPr>
          <w:rFonts w:hint="eastAsia" w:ascii="仿宋_GB2312"/>
        </w:rPr>
        <w:t>二</w:t>
      </w:r>
      <w:r>
        <w:rPr>
          <w:rFonts w:hint="eastAsia" w:ascii="宋体" w:hAnsi="宋体" w:eastAsia="宋体" w:cs="宋体"/>
        </w:rPr>
        <w:t>〇</w:t>
      </w:r>
      <w:r>
        <w:rPr>
          <w:rFonts w:hint="eastAsia" w:ascii="仿宋_GB2312" w:hAnsi="仿宋_GB2312" w:cs="仿宋_GB2312"/>
        </w:rPr>
        <w:t>一五年九月九日</w:t>
      </w:r>
      <w:r>
        <w:rPr>
          <w:rFonts w:hint="eastAsia" w:ascii="仿宋_GB2312"/>
        </w:rPr>
        <w:t xml:space="preserve">          </w:t>
      </w:r>
    </w:p>
    <w:p>
      <w:pPr>
        <w:spacing w:line="520" w:lineRule="exact"/>
        <w:ind w:firstLine="5590" w:firstLineChars="1720"/>
        <w:rPr>
          <w:rFonts w:hint="eastAsia" w:ascii="仿宋_GB2312"/>
        </w:rPr>
      </w:pPr>
    </w:p>
    <w:p>
      <w:pPr>
        <w:spacing w:line="520" w:lineRule="exact"/>
        <w:ind w:firstLine="5433" w:firstLineChars="1672"/>
        <w:rPr>
          <w:rFonts w:hint="eastAsia" w:ascii="宋体" w:eastAsia="宋体"/>
        </w:rPr>
      </w:pPr>
      <w:r>
        <w:rPr>
          <w:rFonts w:hint="eastAsia" w:ascii="仿宋_GB2312"/>
        </w:rPr>
        <w:t>书</w:t>
      </w:r>
      <w:r>
        <w:rPr>
          <w:rFonts w:ascii="仿宋_GB2312"/>
        </w:rPr>
        <w:t xml:space="preserve">  </w:t>
      </w:r>
      <w:r>
        <w:rPr>
          <w:rFonts w:hint="eastAsia" w:ascii="仿宋_GB2312"/>
        </w:rPr>
        <w:t>记</w:t>
      </w:r>
      <w:r>
        <w:rPr>
          <w:rFonts w:ascii="仿宋_GB2312"/>
        </w:rPr>
        <w:t xml:space="preserve">  </w:t>
      </w:r>
      <w:r>
        <w:rPr>
          <w:rFonts w:hint="eastAsia" w:ascii="仿宋_GB2312"/>
        </w:rPr>
        <w:t>员</w:t>
      </w:r>
      <w:r>
        <w:rPr>
          <w:rFonts w:ascii="仿宋_GB2312"/>
        </w:rPr>
        <w:t xml:space="preserve">  </w:t>
      </w:r>
      <w:r>
        <w:rPr>
          <w:rFonts w:hint="eastAsia" w:ascii="仿宋_GB2312"/>
        </w:rPr>
        <w:t xml:space="preserve">阎  </w:t>
      </w:r>
      <w:r>
        <w:rPr>
          <w:rFonts w:hint="eastAsia" w:ascii="宋体" w:eastAsia="宋体"/>
        </w:rPr>
        <w:t>喆</w:t>
      </w:r>
    </w:p>
    <w:p>
      <w:pPr>
        <w:spacing w:line="520" w:lineRule="exact"/>
        <w:ind w:firstLine="5433" w:firstLineChars="1672"/>
        <w:rPr>
          <w:rFonts w:hint="eastAsia" w:ascii="仿宋_GB2312"/>
        </w:rPr>
      </w:pPr>
      <w:r>
        <w:rPr>
          <w:rFonts w:hint="eastAsia" w:ascii="仿宋_GB2312"/>
          <w:szCs w:val="32"/>
        </w:rPr>
        <w:t>速  录  员  王  玮</w:t>
      </w: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rPr>
          <w:rFonts w:hint="eastAsia" w:ascii="黑体" w:eastAsia="黑体"/>
          <w:sz w:val="36"/>
          <w:szCs w:val="36"/>
        </w:rPr>
      </w:pPr>
    </w:p>
    <w:p>
      <w:pPr>
        <w:tabs>
          <w:tab w:val="left" w:pos="1884"/>
        </w:tabs>
        <w:spacing w:line="500" w:lineRule="exact"/>
        <w:ind w:right="628"/>
        <w:rPr>
          <w:rFonts w:hint="eastAsia" w:ascii="黑体" w:eastAsia="黑体"/>
          <w:sz w:val="36"/>
          <w:szCs w:val="36"/>
        </w:rPr>
      </w:pPr>
    </w:p>
    <w:p>
      <w:pPr>
        <w:tabs>
          <w:tab w:val="left" w:pos="1884"/>
        </w:tabs>
        <w:spacing w:line="500" w:lineRule="exact"/>
        <w:ind w:right="628"/>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r>
        <w:rPr>
          <w:rFonts w:hint="eastAsia" w:ascii="黑体" w:eastAsia="黑体"/>
          <w:sz w:val="36"/>
          <w:szCs w:val="36"/>
        </w:rPr>
        <w:t>本判决所依据的相关法律、法规</w:t>
      </w:r>
    </w:p>
    <w:p>
      <w:pPr>
        <w:tabs>
          <w:tab w:val="left" w:pos="1884"/>
        </w:tabs>
        <w:spacing w:line="500" w:lineRule="exact"/>
        <w:ind w:right="628" w:firstLine="1460" w:firstLineChars="400"/>
        <w:jc w:val="center"/>
        <w:rPr>
          <w:rFonts w:hint="eastAsia" w:ascii="黑体" w:eastAsia="黑体"/>
          <w:sz w:val="36"/>
          <w:szCs w:val="36"/>
        </w:rPr>
      </w:pPr>
    </w:p>
    <w:p>
      <w:pPr>
        <w:ind w:firstLine="805" w:firstLineChars="248"/>
        <w:rPr>
          <w:rFonts w:hint="eastAsia" w:ascii="仿宋_GB2312"/>
          <w:szCs w:val="21"/>
        </w:rPr>
      </w:pPr>
      <w:r>
        <w:rPr>
          <w:rFonts w:hint="eastAsia"/>
        </w:rPr>
        <w:t>一、《中华人民共和国刑法》第一百九十六条：</w:t>
      </w:r>
      <w:r>
        <w:rPr>
          <w:rFonts w:hint="eastAsia" w:ascii="仿宋_GB2312"/>
          <w:szCs w:val="21"/>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szCs w:val="21"/>
        </w:rPr>
      </w:pPr>
      <w:r>
        <w:rPr>
          <w:rFonts w:hint="eastAsia" w:ascii="仿宋_GB2312"/>
          <w:szCs w:val="21"/>
        </w:rPr>
        <w:t>　　（一）使用伪造的信用卡，或者使用以虚假的身份证明骗领的信用卡的；</w:t>
      </w:r>
    </w:p>
    <w:p>
      <w:pPr>
        <w:rPr>
          <w:rFonts w:hint="eastAsia" w:ascii="仿宋_GB2312"/>
          <w:szCs w:val="21"/>
        </w:rPr>
      </w:pPr>
      <w:r>
        <w:rPr>
          <w:rFonts w:hint="eastAsia" w:ascii="仿宋_GB2312"/>
          <w:szCs w:val="21"/>
        </w:rPr>
        <w:t>　　（二）使用作废的信用卡的；</w:t>
      </w:r>
    </w:p>
    <w:p>
      <w:pPr>
        <w:rPr>
          <w:rFonts w:hint="eastAsia" w:ascii="仿宋_GB2312"/>
          <w:szCs w:val="21"/>
        </w:rPr>
      </w:pPr>
      <w:r>
        <w:rPr>
          <w:rFonts w:hint="eastAsia" w:ascii="仿宋_GB2312"/>
          <w:szCs w:val="21"/>
        </w:rPr>
        <w:t>　　（三）冒用他人信用卡的；</w:t>
      </w:r>
    </w:p>
    <w:p>
      <w:pPr>
        <w:rPr>
          <w:rFonts w:hint="eastAsia" w:ascii="仿宋_GB2312"/>
          <w:szCs w:val="21"/>
        </w:rPr>
      </w:pPr>
      <w:r>
        <w:rPr>
          <w:rFonts w:hint="eastAsia" w:ascii="仿宋_GB2312"/>
          <w:szCs w:val="21"/>
        </w:rPr>
        <w:t>　　（四）恶意透支的。</w:t>
      </w:r>
    </w:p>
    <w:p>
      <w:pPr>
        <w:rPr>
          <w:rFonts w:hint="eastAsia" w:ascii="仿宋_GB2312"/>
          <w:szCs w:val="21"/>
        </w:rPr>
      </w:pPr>
      <w:r>
        <w:rPr>
          <w:rFonts w:hint="eastAsia" w:ascii="仿宋_GB2312"/>
          <w:szCs w:val="21"/>
        </w:rPr>
        <w:t>　　前款所称恶意透支，是指持卡人以非法占有为目的，超过规定限额或者规定期限透支，并且经发卡银行催收后仍不归还的行为。</w:t>
      </w:r>
    </w:p>
    <w:p>
      <w:pPr>
        <w:rPr>
          <w:rFonts w:hint="eastAsia" w:ascii="仿宋_GB2312"/>
          <w:szCs w:val="21"/>
        </w:rPr>
      </w:pPr>
      <w:r>
        <w:rPr>
          <w:rFonts w:hint="eastAsia" w:ascii="仿宋_GB2312"/>
          <w:szCs w:val="21"/>
        </w:rPr>
        <w:t>　　盗窃信用卡并使用的，依照本法第二百六十四条的规定定罪处罚。</w:t>
      </w:r>
    </w:p>
    <w:p>
      <w:pPr>
        <w:spacing w:line="520" w:lineRule="exact"/>
        <w:ind w:firstLine="642" w:firstLineChars="198"/>
        <w:rPr>
          <w:rFonts w:hint="eastAsia" w:ascii="仿宋_GB2312"/>
          <w:szCs w:val="21"/>
        </w:rPr>
      </w:pPr>
      <w:r>
        <w:rPr>
          <w:rFonts w:hint="eastAsia" w:ascii="仿宋_GB2312"/>
          <w:szCs w:val="21"/>
        </w:rPr>
        <w:t>二</w:t>
      </w:r>
      <w:r>
        <w:rPr>
          <w:rFonts w:hint="eastAsia"/>
          <w:szCs w:val="18"/>
        </w:rPr>
        <w:t>、</w:t>
      </w:r>
      <w:r>
        <w:rPr>
          <w:rFonts w:hint="eastAsia" w:ascii="仿宋_GB2312"/>
          <w:szCs w:val="32"/>
        </w:rPr>
        <w:t>《中华人民共和国刑法》第六十七条：犯罪以后自动投案，如实供述自己的罪行的，是自首。对于自首的犯罪分子，可以从轻或者减轻处罚。其中，犯罪较轻的，可以免除处罚。</w:t>
      </w:r>
    </w:p>
    <w:p>
      <w:pPr>
        <w:spacing w:line="520" w:lineRule="exact"/>
        <w:ind w:firstLine="650" w:firstLineChars="200"/>
        <w:rPr>
          <w:rFonts w:hint="eastAsia" w:ascii="仿宋_GB2312"/>
          <w:szCs w:val="32"/>
        </w:rPr>
      </w:pPr>
      <w:r>
        <w:rPr>
          <w:rFonts w:hint="eastAsia" w:ascii="仿宋_GB2312"/>
          <w:szCs w:val="32"/>
        </w:rPr>
        <w:t>被采取强制措施的犯罪嫌疑人、被告人和正在服刑的罪犯，如实供述司法机关还未掌握的本人其他罪行的，以自首论。</w:t>
      </w:r>
    </w:p>
    <w:p>
      <w:pPr>
        <w:spacing w:line="520" w:lineRule="exact"/>
        <w:ind w:firstLine="650" w:firstLineChars="200"/>
        <w:rPr>
          <w:rFonts w:hint="eastAsia" w:ascii="仿宋_GB2312"/>
          <w:szCs w:val="32"/>
        </w:rPr>
      </w:pPr>
      <w:r>
        <w:rPr>
          <w:rFonts w:hint="eastAsia" w:ascii="仿宋_GB2312"/>
          <w:szCs w:val="32"/>
        </w:rPr>
        <w:t>犯罪嫌疑人虽不具有前两款规定的自首情节，但是如实供述自己罪行的，可以从轻处罚；因其如实供述自己罪行，避免特别严重后果发生的，可以减轻处罚。</w:t>
      </w:r>
    </w:p>
    <w:p>
      <w:pPr>
        <w:spacing w:line="520" w:lineRule="exact"/>
        <w:ind w:firstLine="650" w:firstLineChars="200"/>
        <w:rPr>
          <w:rFonts w:hint="eastAsia" w:ascii="仿宋_GB2312"/>
          <w:szCs w:val="32"/>
        </w:rPr>
      </w:pPr>
      <w:r>
        <w:rPr>
          <w:rFonts w:hint="eastAsia"/>
        </w:rPr>
        <w:t>三、</w:t>
      </w:r>
      <w:r>
        <w:rPr>
          <w:rFonts w:hint="eastAsia" w:ascii="仿宋_GB2312"/>
          <w:szCs w:val="32"/>
        </w:rPr>
        <w:t>《中华人民共和国刑法》第七十二条：对于被判处拘役、三年以下有期徒刑的犯罪分子，同时符合下列条件的，可以宣告缓刑，对其中不满十八周岁的人、怀孕的妇女和已满七十五周岁的人,应当宣告缓刑:</w:t>
      </w:r>
    </w:p>
    <w:p>
      <w:pPr>
        <w:numPr>
          <w:ilvl w:val="0"/>
          <w:numId w:val="1"/>
        </w:numPr>
        <w:spacing w:line="520" w:lineRule="exact"/>
        <w:rPr>
          <w:rFonts w:hint="eastAsia" w:ascii="仿宋_GB2312"/>
          <w:szCs w:val="32"/>
        </w:rPr>
      </w:pPr>
      <w:r>
        <w:rPr>
          <w:rFonts w:hint="eastAsia" w:ascii="仿宋_GB2312"/>
          <w:szCs w:val="32"/>
        </w:rPr>
        <w:t>犯罪情节较轻;</w:t>
      </w:r>
    </w:p>
    <w:p>
      <w:pPr>
        <w:numPr>
          <w:ilvl w:val="0"/>
          <w:numId w:val="1"/>
        </w:numPr>
        <w:spacing w:line="520" w:lineRule="exact"/>
        <w:rPr>
          <w:rFonts w:hint="eastAsia" w:ascii="仿宋_GB2312"/>
          <w:szCs w:val="32"/>
        </w:rPr>
      </w:pPr>
      <w:r>
        <w:rPr>
          <w:rFonts w:hint="eastAsia" w:ascii="仿宋_GB2312"/>
          <w:szCs w:val="32"/>
        </w:rPr>
        <w:t>有悔罪表现;</w:t>
      </w:r>
    </w:p>
    <w:p>
      <w:pPr>
        <w:numPr>
          <w:ilvl w:val="0"/>
          <w:numId w:val="1"/>
        </w:numPr>
        <w:spacing w:line="520" w:lineRule="exact"/>
        <w:rPr>
          <w:rFonts w:hint="eastAsia" w:ascii="仿宋_GB2312"/>
          <w:szCs w:val="32"/>
        </w:rPr>
      </w:pPr>
      <w:r>
        <w:rPr>
          <w:rFonts w:hint="eastAsia" w:ascii="仿宋_GB2312"/>
          <w:szCs w:val="32"/>
        </w:rPr>
        <w:t>没有再犯罪的危险;</w:t>
      </w:r>
    </w:p>
    <w:p>
      <w:pPr>
        <w:numPr>
          <w:ilvl w:val="0"/>
          <w:numId w:val="1"/>
        </w:numPr>
        <w:spacing w:line="520" w:lineRule="exact"/>
        <w:rPr>
          <w:rFonts w:hint="eastAsia" w:ascii="仿宋_GB2312"/>
          <w:szCs w:val="32"/>
        </w:rPr>
      </w:pPr>
      <w:r>
        <w:rPr>
          <w:rFonts w:hint="eastAsia" w:ascii="仿宋_GB2312"/>
          <w:szCs w:val="32"/>
        </w:rPr>
        <w:t>宣告缓刑对所居住社区没有重大不良影响.</w:t>
      </w:r>
    </w:p>
    <w:p>
      <w:pPr>
        <w:spacing w:line="520" w:lineRule="exact"/>
        <w:ind w:firstLine="650" w:firstLineChars="200"/>
        <w:rPr>
          <w:rFonts w:hint="eastAsia" w:ascii="仿宋_GB2312"/>
          <w:szCs w:val="32"/>
        </w:rPr>
      </w:pPr>
      <w:r>
        <w:rPr>
          <w:rFonts w:hint="eastAsia" w:ascii="仿宋_GB2312"/>
          <w:szCs w:val="32"/>
        </w:rPr>
        <w:t>宣告缓刑，可以根据犯罪情况,同时禁止犯罪分子在缓刑考验期限内从事特定活动,进入特定区域、场所，接触特定的人。</w:t>
      </w:r>
    </w:p>
    <w:p>
      <w:pPr>
        <w:spacing w:line="520" w:lineRule="exact"/>
        <w:ind w:right="628" w:firstLine="650" w:firstLineChars="200"/>
        <w:rPr>
          <w:rFonts w:ascii="仿宋_GB2312"/>
          <w:szCs w:val="32"/>
        </w:rPr>
      </w:pPr>
      <w:r>
        <w:rPr>
          <w:rFonts w:hint="eastAsia" w:ascii="仿宋_GB2312"/>
          <w:szCs w:val="32"/>
        </w:rPr>
        <w:t>被宣告缓刑的犯罪分子，如果被判处附加刑，附加刑仍须执行。</w:t>
      </w:r>
    </w:p>
    <w:p>
      <w:pPr>
        <w:spacing w:line="520" w:lineRule="exact"/>
        <w:ind w:right="628" w:firstLine="650" w:firstLineChars="200"/>
        <w:rPr>
          <w:rFonts w:ascii="仿宋_GB2312"/>
          <w:szCs w:val="32"/>
        </w:rPr>
      </w:pPr>
      <w:r>
        <w:rPr>
          <w:rFonts w:hint="eastAsia" w:ascii="仿宋_GB2312"/>
          <w:szCs w:val="32"/>
        </w:rPr>
        <w:t>四、《中华人民共和国刑法》第七十三条：拘役的缓刑考验期限为原判刑期以上一年以下，但是不能少于二个月。</w:t>
      </w:r>
    </w:p>
    <w:p>
      <w:pPr>
        <w:spacing w:line="520" w:lineRule="exact"/>
        <w:ind w:right="628" w:firstLine="630"/>
        <w:rPr>
          <w:rFonts w:ascii="仿宋_GB2312"/>
          <w:szCs w:val="32"/>
        </w:rPr>
      </w:pPr>
      <w:r>
        <w:rPr>
          <w:rFonts w:hint="eastAsia" w:ascii="仿宋_GB2312"/>
          <w:szCs w:val="32"/>
        </w:rPr>
        <w:t>有期徒刑的缓刑考验期限为原判刑期以上五年以下，但是不能少于一年。</w:t>
      </w:r>
    </w:p>
    <w:p>
      <w:pPr>
        <w:spacing w:line="520" w:lineRule="exact"/>
        <w:ind w:right="628" w:firstLine="630"/>
        <w:rPr>
          <w:rFonts w:hint="eastAsia" w:ascii="仿宋_GB2312"/>
          <w:szCs w:val="32"/>
        </w:rPr>
      </w:pPr>
      <w:r>
        <w:rPr>
          <w:rFonts w:hint="eastAsia" w:ascii="仿宋_GB2312"/>
          <w:szCs w:val="32"/>
        </w:rPr>
        <w:t>缓刑考验期限，从判决确定之日起计算。</w:t>
      </w:r>
    </w:p>
    <w:p>
      <w:pPr>
        <w:ind w:firstLine="642" w:firstLineChars="198"/>
        <w:rPr>
          <w:rFonts w:hint="eastAsia" w:ascii="仿宋_GB2312"/>
          <w:szCs w:val="21"/>
        </w:rPr>
      </w:pPr>
      <w:r>
        <w:rPr>
          <w:rFonts w:hint="eastAsia" w:ascii="仿宋_GB2312"/>
          <w:szCs w:val="32"/>
        </w:rPr>
        <w:t>五、《中华人民共和国刑法》</w:t>
      </w:r>
      <w:r>
        <w:rPr>
          <w:rFonts w:hint="eastAsia" w:ascii="仿宋_GB2312"/>
          <w:szCs w:val="21"/>
        </w:rPr>
        <w:t>第七十六条：对宣告缓刑的犯罪分子，在缓刑考验期限内，依法实行社区矫正，如果没有本法第七十七条规定的情形，缓刑考验期满，原判的刑罚就不再执行，并公开予以宣告。</w:t>
      </w:r>
    </w:p>
    <w:p>
      <w:pPr>
        <w:ind w:firstLine="642" w:firstLineChars="198"/>
        <w:rPr>
          <w:rFonts w:hint="eastAsia" w:ascii="仿宋_GB2312"/>
          <w:szCs w:val="21"/>
        </w:rPr>
      </w:pPr>
    </w:p>
    <w:p>
      <w:pPr>
        <w:tabs>
          <w:tab w:val="left" w:pos="1884"/>
        </w:tabs>
        <w:spacing w:line="500" w:lineRule="exact"/>
        <w:ind w:right="628" w:firstLine="1460" w:firstLineChars="400"/>
        <w:jc w:val="center"/>
        <w:rPr>
          <w:rFonts w:hint="eastAsia" w:ascii="黑体" w:eastAsia="黑体"/>
          <w:sz w:val="36"/>
          <w:szCs w:val="36"/>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851" w:footer="992" w:gutter="0"/>
      <w:cols w:space="425" w:num="1"/>
      <w:docGrid w:type="linesAndChars" w:linePitch="537"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D14CF"/>
    <w:multiLevelType w:val="multilevel"/>
    <w:tmpl w:val="6FFD14CF"/>
    <w:lvl w:ilvl="0" w:tentative="0">
      <w:start w:val="1"/>
      <w:numFmt w:val="japaneseCounting"/>
      <w:lvlText w:val="(%1)"/>
      <w:lvlJc w:val="left"/>
      <w:pPr>
        <w:tabs>
          <w:tab w:val="left" w:pos="1348"/>
        </w:tabs>
        <w:ind w:left="1348" w:hanging="720"/>
      </w:pPr>
      <w:rPr>
        <w:rFonts w:hint="eastAsia"/>
      </w:rPr>
    </w:lvl>
    <w:lvl w:ilvl="1" w:tentative="0">
      <w:start w:val="1"/>
      <w:numFmt w:val="lowerLetter"/>
      <w:lvlText w:val="%2)"/>
      <w:lvlJc w:val="left"/>
      <w:pPr>
        <w:tabs>
          <w:tab w:val="left" w:pos="1468"/>
        </w:tabs>
        <w:ind w:left="1468" w:hanging="420"/>
      </w:pPr>
    </w:lvl>
    <w:lvl w:ilvl="2" w:tentative="0">
      <w:start w:val="1"/>
      <w:numFmt w:val="lowerRoman"/>
      <w:lvlText w:val="%3."/>
      <w:lvlJc w:val="right"/>
      <w:pPr>
        <w:tabs>
          <w:tab w:val="left" w:pos="1888"/>
        </w:tabs>
        <w:ind w:left="1888" w:hanging="420"/>
      </w:pPr>
    </w:lvl>
    <w:lvl w:ilvl="3" w:tentative="0">
      <w:start w:val="1"/>
      <w:numFmt w:val="decimal"/>
      <w:lvlText w:val="%4."/>
      <w:lvlJc w:val="left"/>
      <w:pPr>
        <w:tabs>
          <w:tab w:val="left" w:pos="2308"/>
        </w:tabs>
        <w:ind w:left="2308" w:hanging="420"/>
      </w:pPr>
    </w:lvl>
    <w:lvl w:ilvl="4" w:tentative="0">
      <w:start w:val="1"/>
      <w:numFmt w:val="lowerLetter"/>
      <w:lvlText w:val="%5)"/>
      <w:lvlJc w:val="left"/>
      <w:pPr>
        <w:tabs>
          <w:tab w:val="left" w:pos="2728"/>
        </w:tabs>
        <w:ind w:left="2728" w:hanging="420"/>
      </w:pPr>
    </w:lvl>
    <w:lvl w:ilvl="5" w:tentative="0">
      <w:start w:val="1"/>
      <w:numFmt w:val="lowerRoman"/>
      <w:lvlText w:val="%6."/>
      <w:lvlJc w:val="right"/>
      <w:pPr>
        <w:tabs>
          <w:tab w:val="left" w:pos="3148"/>
        </w:tabs>
        <w:ind w:left="3148" w:hanging="420"/>
      </w:pPr>
    </w:lvl>
    <w:lvl w:ilvl="6" w:tentative="0">
      <w:start w:val="1"/>
      <w:numFmt w:val="decimal"/>
      <w:lvlText w:val="%7."/>
      <w:lvlJc w:val="left"/>
      <w:pPr>
        <w:tabs>
          <w:tab w:val="left" w:pos="3568"/>
        </w:tabs>
        <w:ind w:left="3568" w:hanging="420"/>
      </w:pPr>
    </w:lvl>
    <w:lvl w:ilvl="7" w:tentative="0">
      <w:start w:val="1"/>
      <w:numFmt w:val="lowerLetter"/>
      <w:lvlText w:val="%8)"/>
      <w:lvlJc w:val="left"/>
      <w:pPr>
        <w:tabs>
          <w:tab w:val="left" w:pos="3988"/>
        </w:tabs>
        <w:ind w:left="3988" w:hanging="420"/>
      </w:pPr>
    </w:lvl>
    <w:lvl w:ilvl="8" w:tentative="0">
      <w:start w:val="1"/>
      <w:numFmt w:val="lowerRoman"/>
      <w:lvlText w:val="%9."/>
      <w:lvlJc w:val="right"/>
      <w:pPr>
        <w:tabs>
          <w:tab w:val="left" w:pos="4408"/>
        </w:tabs>
        <w:ind w:left="440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3993"/>
    <w:rsid w:val="000001E2"/>
    <w:rsid w:val="000008D2"/>
    <w:rsid w:val="00003DA4"/>
    <w:rsid w:val="00004C2B"/>
    <w:rsid w:val="000055B0"/>
    <w:rsid w:val="00006C2C"/>
    <w:rsid w:val="00011F0A"/>
    <w:rsid w:val="00011F75"/>
    <w:rsid w:val="000123A9"/>
    <w:rsid w:val="000161EC"/>
    <w:rsid w:val="0001687A"/>
    <w:rsid w:val="00016E81"/>
    <w:rsid w:val="00022F05"/>
    <w:rsid w:val="00030368"/>
    <w:rsid w:val="000303FE"/>
    <w:rsid w:val="00031277"/>
    <w:rsid w:val="000314D4"/>
    <w:rsid w:val="00032A37"/>
    <w:rsid w:val="00032D6D"/>
    <w:rsid w:val="00034C76"/>
    <w:rsid w:val="0003686E"/>
    <w:rsid w:val="00037E74"/>
    <w:rsid w:val="000450EB"/>
    <w:rsid w:val="00047265"/>
    <w:rsid w:val="00053113"/>
    <w:rsid w:val="00060367"/>
    <w:rsid w:val="00060DD0"/>
    <w:rsid w:val="00064379"/>
    <w:rsid w:val="000710DF"/>
    <w:rsid w:val="0007132E"/>
    <w:rsid w:val="00073BBB"/>
    <w:rsid w:val="000742AD"/>
    <w:rsid w:val="0007513D"/>
    <w:rsid w:val="00075824"/>
    <w:rsid w:val="00075D58"/>
    <w:rsid w:val="000760C0"/>
    <w:rsid w:val="000762FD"/>
    <w:rsid w:val="000776E4"/>
    <w:rsid w:val="000825C6"/>
    <w:rsid w:val="000829BF"/>
    <w:rsid w:val="00091F35"/>
    <w:rsid w:val="000A07CF"/>
    <w:rsid w:val="000A23A2"/>
    <w:rsid w:val="000A32B4"/>
    <w:rsid w:val="000A3E47"/>
    <w:rsid w:val="000B025A"/>
    <w:rsid w:val="000B236C"/>
    <w:rsid w:val="000B2423"/>
    <w:rsid w:val="000B2F0A"/>
    <w:rsid w:val="000B3F2E"/>
    <w:rsid w:val="000B69E4"/>
    <w:rsid w:val="000C20FB"/>
    <w:rsid w:val="000C39E4"/>
    <w:rsid w:val="000C3C4F"/>
    <w:rsid w:val="000C417A"/>
    <w:rsid w:val="000C512A"/>
    <w:rsid w:val="000C6C5F"/>
    <w:rsid w:val="000C7C33"/>
    <w:rsid w:val="000D009D"/>
    <w:rsid w:val="000D17BB"/>
    <w:rsid w:val="000D4648"/>
    <w:rsid w:val="000D5365"/>
    <w:rsid w:val="000E0E51"/>
    <w:rsid w:val="000E3A24"/>
    <w:rsid w:val="000F0E8D"/>
    <w:rsid w:val="000F7810"/>
    <w:rsid w:val="0010243C"/>
    <w:rsid w:val="001122A7"/>
    <w:rsid w:val="001124D9"/>
    <w:rsid w:val="0011391F"/>
    <w:rsid w:val="00113B5A"/>
    <w:rsid w:val="00114D67"/>
    <w:rsid w:val="00115C8D"/>
    <w:rsid w:val="00116BD5"/>
    <w:rsid w:val="0011765E"/>
    <w:rsid w:val="00121229"/>
    <w:rsid w:val="00125148"/>
    <w:rsid w:val="0012581D"/>
    <w:rsid w:val="00130951"/>
    <w:rsid w:val="00131056"/>
    <w:rsid w:val="001323CD"/>
    <w:rsid w:val="00132407"/>
    <w:rsid w:val="00135C25"/>
    <w:rsid w:val="00137F64"/>
    <w:rsid w:val="00140D0D"/>
    <w:rsid w:val="00140E9C"/>
    <w:rsid w:val="00146DA2"/>
    <w:rsid w:val="00150163"/>
    <w:rsid w:val="00150D99"/>
    <w:rsid w:val="001520E8"/>
    <w:rsid w:val="00160B4A"/>
    <w:rsid w:val="00160DC8"/>
    <w:rsid w:val="00161DAC"/>
    <w:rsid w:val="001634A4"/>
    <w:rsid w:val="001653AD"/>
    <w:rsid w:val="00166188"/>
    <w:rsid w:val="001673DC"/>
    <w:rsid w:val="00171860"/>
    <w:rsid w:val="00171C1C"/>
    <w:rsid w:val="00173E4E"/>
    <w:rsid w:val="00183E6A"/>
    <w:rsid w:val="001848A0"/>
    <w:rsid w:val="00185DA7"/>
    <w:rsid w:val="00186C4B"/>
    <w:rsid w:val="00192A11"/>
    <w:rsid w:val="00193742"/>
    <w:rsid w:val="0019672A"/>
    <w:rsid w:val="00197CB2"/>
    <w:rsid w:val="001A109B"/>
    <w:rsid w:val="001A196C"/>
    <w:rsid w:val="001A31EA"/>
    <w:rsid w:val="001A658B"/>
    <w:rsid w:val="001B2D79"/>
    <w:rsid w:val="001B510F"/>
    <w:rsid w:val="001B61DE"/>
    <w:rsid w:val="001C00E1"/>
    <w:rsid w:val="001C19C0"/>
    <w:rsid w:val="001C1DE3"/>
    <w:rsid w:val="001D0E27"/>
    <w:rsid w:val="001D21AE"/>
    <w:rsid w:val="001D2738"/>
    <w:rsid w:val="001D4058"/>
    <w:rsid w:val="001D4097"/>
    <w:rsid w:val="001D6AB0"/>
    <w:rsid w:val="001E3E8F"/>
    <w:rsid w:val="001E61A9"/>
    <w:rsid w:val="001F0CF1"/>
    <w:rsid w:val="001F14A8"/>
    <w:rsid w:val="001F602C"/>
    <w:rsid w:val="00201704"/>
    <w:rsid w:val="00204931"/>
    <w:rsid w:val="002050A8"/>
    <w:rsid w:val="00207D10"/>
    <w:rsid w:val="002115BF"/>
    <w:rsid w:val="00213B7C"/>
    <w:rsid w:val="00213F2A"/>
    <w:rsid w:val="00215F42"/>
    <w:rsid w:val="0021642D"/>
    <w:rsid w:val="00221E7D"/>
    <w:rsid w:val="0022266E"/>
    <w:rsid w:val="00224370"/>
    <w:rsid w:val="00233E88"/>
    <w:rsid w:val="00241AF3"/>
    <w:rsid w:val="00246BB4"/>
    <w:rsid w:val="00247E1D"/>
    <w:rsid w:val="0025262E"/>
    <w:rsid w:val="00253F83"/>
    <w:rsid w:val="00256A24"/>
    <w:rsid w:val="00260BCA"/>
    <w:rsid w:val="00260CAF"/>
    <w:rsid w:val="00264405"/>
    <w:rsid w:val="00271013"/>
    <w:rsid w:val="00272E2E"/>
    <w:rsid w:val="0027316A"/>
    <w:rsid w:val="00276262"/>
    <w:rsid w:val="00281A04"/>
    <w:rsid w:val="00283438"/>
    <w:rsid w:val="00283D64"/>
    <w:rsid w:val="00284FC6"/>
    <w:rsid w:val="00286A59"/>
    <w:rsid w:val="002945D5"/>
    <w:rsid w:val="002947A4"/>
    <w:rsid w:val="002951E7"/>
    <w:rsid w:val="00295544"/>
    <w:rsid w:val="00297681"/>
    <w:rsid w:val="002A6E1E"/>
    <w:rsid w:val="002B2013"/>
    <w:rsid w:val="002B27EB"/>
    <w:rsid w:val="002B30F4"/>
    <w:rsid w:val="002B6349"/>
    <w:rsid w:val="002C1F22"/>
    <w:rsid w:val="002C214C"/>
    <w:rsid w:val="002C26A3"/>
    <w:rsid w:val="002C3FE9"/>
    <w:rsid w:val="002C6E52"/>
    <w:rsid w:val="002D00E1"/>
    <w:rsid w:val="002D21F5"/>
    <w:rsid w:val="002D440A"/>
    <w:rsid w:val="002D6599"/>
    <w:rsid w:val="002D6CDB"/>
    <w:rsid w:val="002E10BB"/>
    <w:rsid w:val="002E3299"/>
    <w:rsid w:val="002E56CF"/>
    <w:rsid w:val="002E6781"/>
    <w:rsid w:val="002E7382"/>
    <w:rsid w:val="002F175F"/>
    <w:rsid w:val="002F4F64"/>
    <w:rsid w:val="00305AA3"/>
    <w:rsid w:val="003100B9"/>
    <w:rsid w:val="003107EC"/>
    <w:rsid w:val="0031430A"/>
    <w:rsid w:val="0031535A"/>
    <w:rsid w:val="00316FF7"/>
    <w:rsid w:val="00322227"/>
    <w:rsid w:val="003231DF"/>
    <w:rsid w:val="003256C8"/>
    <w:rsid w:val="00334387"/>
    <w:rsid w:val="003409C1"/>
    <w:rsid w:val="00344402"/>
    <w:rsid w:val="00345B85"/>
    <w:rsid w:val="00346FA6"/>
    <w:rsid w:val="0035096B"/>
    <w:rsid w:val="00351254"/>
    <w:rsid w:val="00356662"/>
    <w:rsid w:val="00365A90"/>
    <w:rsid w:val="00370A81"/>
    <w:rsid w:val="003739E6"/>
    <w:rsid w:val="00383278"/>
    <w:rsid w:val="003837AB"/>
    <w:rsid w:val="00384E09"/>
    <w:rsid w:val="00385006"/>
    <w:rsid w:val="00385776"/>
    <w:rsid w:val="003863F5"/>
    <w:rsid w:val="0039091C"/>
    <w:rsid w:val="00396FEF"/>
    <w:rsid w:val="00397173"/>
    <w:rsid w:val="003A0FB4"/>
    <w:rsid w:val="003A315D"/>
    <w:rsid w:val="003A53A8"/>
    <w:rsid w:val="003B00D1"/>
    <w:rsid w:val="003B560F"/>
    <w:rsid w:val="003B7361"/>
    <w:rsid w:val="003C0027"/>
    <w:rsid w:val="003C28CD"/>
    <w:rsid w:val="003C3FAF"/>
    <w:rsid w:val="003C5F74"/>
    <w:rsid w:val="003C7027"/>
    <w:rsid w:val="003D2FC4"/>
    <w:rsid w:val="003D48E5"/>
    <w:rsid w:val="003E26DC"/>
    <w:rsid w:val="003E4640"/>
    <w:rsid w:val="003E6E6D"/>
    <w:rsid w:val="003F144A"/>
    <w:rsid w:val="003F38B4"/>
    <w:rsid w:val="003F6058"/>
    <w:rsid w:val="004060D8"/>
    <w:rsid w:val="00406F62"/>
    <w:rsid w:val="0040714A"/>
    <w:rsid w:val="00415075"/>
    <w:rsid w:val="00416E83"/>
    <w:rsid w:val="00423F92"/>
    <w:rsid w:val="004241FE"/>
    <w:rsid w:val="00431589"/>
    <w:rsid w:val="00434257"/>
    <w:rsid w:val="00434DC6"/>
    <w:rsid w:val="00441145"/>
    <w:rsid w:val="00442B77"/>
    <w:rsid w:val="004435C2"/>
    <w:rsid w:val="0045397A"/>
    <w:rsid w:val="00457917"/>
    <w:rsid w:val="00466424"/>
    <w:rsid w:val="00467163"/>
    <w:rsid w:val="00474D71"/>
    <w:rsid w:val="0048011B"/>
    <w:rsid w:val="004840D4"/>
    <w:rsid w:val="00495F8B"/>
    <w:rsid w:val="00497111"/>
    <w:rsid w:val="004A7628"/>
    <w:rsid w:val="004B156C"/>
    <w:rsid w:val="004B1B66"/>
    <w:rsid w:val="004B2D37"/>
    <w:rsid w:val="004C0149"/>
    <w:rsid w:val="004C18AC"/>
    <w:rsid w:val="004C2383"/>
    <w:rsid w:val="004D0266"/>
    <w:rsid w:val="004D4FF2"/>
    <w:rsid w:val="004D6AB3"/>
    <w:rsid w:val="004E6B8B"/>
    <w:rsid w:val="004E6BB3"/>
    <w:rsid w:val="004F1888"/>
    <w:rsid w:val="004F2AD2"/>
    <w:rsid w:val="00501389"/>
    <w:rsid w:val="00501B67"/>
    <w:rsid w:val="0051245E"/>
    <w:rsid w:val="00514C6F"/>
    <w:rsid w:val="00515767"/>
    <w:rsid w:val="00515A08"/>
    <w:rsid w:val="00515B98"/>
    <w:rsid w:val="00517917"/>
    <w:rsid w:val="005179E5"/>
    <w:rsid w:val="00521384"/>
    <w:rsid w:val="005213E8"/>
    <w:rsid w:val="00522C3D"/>
    <w:rsid w:val="00523A72"/>
    <w:rsid w:val="00524813"/>
    <w:rsid w:val="005344CA"/>
    <w:rsid w:val="005350E9"/>
    <w:rsid w:val="00537E6A"/>
    <w:rsid w:val="0054151E"/>
    <w:rsid w:val="00550BFE"/>
    <w:rsid w:val="0055502E"/>
    <w:rsid w:val="0055799D"/>
    <w:rsid w:val="00557B48"/>
    <w:rsid w:val="005621AA"/>
    <w:rsid w:val="005638FF"/>
    <w:rsid w:val="00564F80"/>
    <w:rsid w:val="00570995"/>
    <w:rsid w:val="0058120E"/>
    <w:rsid w:val="00581CF8"/>
    <w:rsid w:val="00590868"/>
    <w:rsid w:val="00596238"/>
    <w:rsid w:val="00596B2D"/>
    <w:rsid w:val="005B10E2"/>
    <w:rsid w:val="005B2AD0"/>
    <w:rsid w:val="005B4AA3"/>
    <w:rsid w:val="005B514B"/>
    <w:rsid w:val="005B5D16"/>
    <w:rsid w:val="005C3209"/>
    <w:rsid w:val="005C4AC9"/>
    <w:rsid w:val="005C721C"/>
    <w:rsid w:val="005C748D"/>
    <w:rsid w:val="005D1E3A"/>
    <w:rsid w:val="005D32C1"/>
    <w:rsid w:val="005D415D"/>
    <w:rsid w:val="005D5214"/>
    <w:rsid w:val="005E096D"/>
    <w:rsid w:val="005E243A"/>
    <w:rsid w:val="005E3D02"/>
    <w:rsid w:val="005E5EAE"/>
    <w:rsid w:val="005F1098"/>
    <w:rsid w:val="005F3820"/>
    <w:rsid w:val="005F3FDF"/>
    <w:rsid w:val="005F41AE"/>
    <w:rsid w:val="005F6908"/>
    <w:rsid w:val="0060008D"/>
    <w:rsid w:val="00600158"/>
    <w:rsid w:val="00601ABA"/>
    <w:rsid w:val="006104D3"/>
    <w:rsid w:val="006137B8"/>
    <w:rsid w:val="00613BE2"/>
    <w:rsid w:val="00615AF1"/>
    <w:rsid w:val="00622FDE"/>
    <w:rsid w:val="0063052D"/>
    <w:rsid w:val="006307DF"/>
    <w:rsid w:val="00631DDC"/>
    <w:rsid w:val="00637AEC"/>
    <w:rsid w:val="00640159"/>
    <w:rsid w:val="0064148A"/>
    <w:rsid w:val="00641B3D"/>
    <w:rsid w:val="0064278B"/>
    <w:rsid w:val="006435C3"/>
    <w:rsid w:val="006544C9"/>
    <w:rsid w:val="006554CC"/>
    <w:rsid w:val="006565DE"/>
    <w:rsid w:val="00657585"/>
    <w:rsid w:val="00662706"/>
    <w:rsid w:val="00666BF2"/>
    <w:rsid w:val="0067015B"/>
    <w:rsid w:val="00670382"/>
    <w:rsid w:val="0067068B"/>
    <w:rsid w:val="006717DF"/>
    <w:rsid w:val="0067385F"/>
    <w:rsid w:val="00675221"/>
    <w:rsid w:val="00676B11"/>
    <w:rsid w:val="00680CDD"/>
    <w:rsid w:val="006822C6"/>
    <w:rsid w:val="00683746"/>
    <w:rsid w:val="006860D0"/>
    <w:rsid w:val="006952A9"/>
    <w:rsid w:val="006969D5"/>
    <w:rsid w:val="006A734C"/>
    <w:rsid w:val="006B48C0"/>
    <w:rsid w:val="006B782C"/>
    <w:rsid w:val="006D7976"/>
    <w:rsid w:val="006E1632"/>
    <w:rsid w:val="006E207F"/>
    <w:rsid w:val="006E26EF"/>
    <w:rsid w:val="006E2CEF"/>
    <w:rsid w:val="006E36A6"/>
    <w:rsid w:val="006E5202"/>
    <w:rsid w:val="006E620F"/>
    <w:rsid w:val="00700882"/>
    <w:rsid w:val="00703144"/>
    <w:rsid w:val="007031C9"/>
    <w:rsid w:val="00703C45"/>
    <w:rsid w:val="0070466A"/>
    <w:rsid w:val="00704811"/>
    <w:rsid w:val="007125A9"/>
    <w:rsid w:val="007138B9"/>
    <w:rsid w:val="007163AD"/>
    <w:rsid w:val="00716643"/>
    <w:rsid w:val="0072217E"/>
    <w:rsid w:val="00724AC2"/>
    <w:rsid w:val="007269C7"/>
    <w:rsid w:val="00730147"/>
    <w:rsid w:val="00734761"/>
    <w:rsid w:val="00735C1F"/>
    <w:rsid w:val="007408D9"/>
    <w:rsid w:val="00743370"/>
    <w:rsid w:val="00743B84"/>
    <w:rsid w:val="00750529"/>
    <w:rsid w:val="00751AC1"/>
    <w:rsid w:val="00755285"/>
    <w:rsid w:val="00761C59"/>
    <w:rsid w:val="00764692"/>
    <w:rsid w:val="00764863"/>
    <w:rsid w:val="00765B59"/>
    <w:rsid w:val="00765DA2"/>
    <w:rsid w:val="0076795F"/>
    <w:rsid w:val="0077030E"/>
    <w:rsid w:val="00771EBE"/>
    <w:rsid w:val="0077209C"/>
    <w:rsid w:val="00772B7F"/>
    <w:rsid w:val="00773993"/>
    <w:rsid w:val="00775291"/>
    <w:rsid w:val="00776891"/>
    <w:rsid w:val="00776C0B"/>
    <w:rsid w:val="00780AB5"/>
    <w:rsid w:val="00781750"/>
    <w:rsid w:val="00783076"/>
    <w:rsid w:val="007841EB"/>
    <w:rsid w:val="00785CEB"/>
    <w:rsid w:val="0078735B"/>
    <w:rsid w:val="007910D1"/>
    <w:rsid w:val="00792FAE"/>
    <w:rsid w:val="007A5EBA"/>
    <w:rsid w:val="007A6A0E"/>
    <w:rsid w:val="007B170E"/>
    <w:rsid w:val="007B1BC4"/>
    <w:rsid w:val="007B59A2"/>
    <w:rsid w:val="007C3722"/>
    <w:rsid w:val="007C4E36"/>
    <w:rsid w:val="007D01D0"/>
    <w:rsid w:val="007D0871"/>
    <w:rsid w:val="007E1360"/>
    <w:rsid w:val="007E3385"/>
    <w:rsid w:val="007E53AE"/>
    <w:rsid w:val="007E5697"/>
    <w:rsid w:val="007E6F7E"/>
    <w:rsid w:val="007F105E"/>
    <w:rsid w:val="007F76CF"/>
    <w:rsid w:val="00804D18"/>
    <w:rsid w:val="008069E0"/>
    <w:rsid w:val="008079D8"/>
    <w:rsid w:val="0081576E"/>
    <w:rsid w:val="00821167"/>
    <w:rsid w:val="00823AB9"/>
    <w:rsid w:val="00823BFE"/>
    <w:rsid w:val="00825116"/>
    <w:rsid w:val="00825FAD"/>
    <w:rsid w:val="00830EB1"/>
    <w:rsid w:val="00835093"/>
    <w:rsid w:val="00835A13"/>
    <w:rsid w:val="008468E1"/>
    <w:rsid w:val="00856C6E"/>
    <w:rsid w:val="00862525"/>
    <w:rsid w:val="00865EEF"/>
    <w:rsid w:val="0086664A"/>
    <w:rsid w:val="00870735"/>
    <w:rsid w:val="0087776D"/>
    <w:rsid w:val="00877CF2"/>
    <w:rsid w:val="00880E7F"/>
    <w:rsid w:val="00885EB6"/>
    <w:rsid w:val="0088718D"/>
    <w:rsid w:val="00887471"/>
    <w:rsid w:val="008878D3"/>
    <w:rsid w:val="008919DB"/>
    <w:rsid w:val="00893D61"/>
    <w:rsid w:val="0089471E"/>
    <w:rsid w:val="00896ECF"/>
    <w:rsid w:val="008A06C4"/>
    <w:rsid w:val="008A124E"/>
    <w:rsid w:val="008A1B0B"/>
    <w:rsid w:val="008A2382"/>
    <w:rsid w:val="008A582C"/>
    <w:rsid w:val="008A64F3"/>
    <w:rsid w:val="008A6C44"/>
    <w:rsid w:val="008B1F96"/>
    <w:rsid w:val="008C28DB"/>
    <w:rsid w:val="008C2CA8"/>
    <w:rsid w:val="008C74A3"/>
    <w:rsid w:val="008D00B6"/>
    <w:rsid w:val="008D3A9E"/>
    <w:rsid w:val="008D6F35"/>
    <w:rsid w:val="008D72B6"/>
    <w:rsid w:val="008D74F7"/>
    <w:rsid w:val="008E17DF"/>
    <w:rsid w:val="008E566B"/>
    <w:rsid w:val="008E6001"/>
    <w:rsid w:val="008E60EA"/>
    <w:rsid w:val="008E6D29"/>
    <w:rsid w:val="008F1A75"/>
    <w:rsid w:val="008F4411"/>
    <w:rsid w:val="008F69B3"/>
    <w:rsid w:val="008F704A"/>
    <w:rsid w:val="008F78D1"/>
    <w:rsid w:val="0090177A"/>
    <w:rsid w:val="00901C7E"/>
    <w:rsid w:val="009028DB"/>
    <w:rsid w:val="00902DF0"/>
    <w:rsid w:val="00904CC5"/>
    <w:rsid w:val="009063CD"/>
    <w:rsid w:val="00911FBC"/>
    <w:rsid w:val="00915400"/>
    <w:rsid w:val="009174D8"/>
    <w:rsid w:val="009204FD"/>
    <w:rsid w:val="00925566"/>
    <w:rsid w:val="00927724"/>
    <w:rsid w:val="00927A80"/>
    <w:rsid w:val="009322BD"/>
    <w:rsid w:val="0093776E"/>
    <w:rsid w:val="009409C9"/>
    <w:rsid w:val="00946BC0"/>
    <w:rsid w:val="009518E3"/>
    <w:rsid w:val="009529BA"/>
    <w:rsid w:val="009539C1"/>
    <w:rsid w:val="00954BF0"/>
    <w:rsid w:val="00963C85"/>
    <w:rsid w:val="00974636"/>
    <w:rsid w:val="009822E1"/>
    <w:rsid w:val="0099035F"/>
    <w:rsid w:val="00991F3A"/>
    <w:rsid w:val="009935A8"/>
    <w:rsid w:val="0099637A"/>
    <w:rsid w:val="009A128C"/>
    <w:rsid w:val="009A15CD"/>
    <w:rsid w:val="009A555C"/>
    <w:rsid w:val="009A5AA1"/>
    <w:rsid w:val="009A7B9C"/>
    <w:rsid w:val="009B03D0"/>
    <w:rsid w:val="009B4DB1"/>
    <w:rsid w:val="009C65FA"/>
    <w:rsid w:val="009D244B"/>
    <w:rsid w:val="009D2B3C"/>
    <w:rsid w:val="009D347F"/>
    <w:rsid w:val="009E224D"/>
    <w:rsid w:val="009E2461"/>
    <w:rsid w:val="009F390B"/>
    <w:rsid w:val="009F52E3"/>
    <w:rsid w:val="009F5B86"/>
    <w:rsid w:val="009F65CB"/>
    <w:rsid w:val="00A142D4"/>
    <w:rsid w:val="00A1465B"/>
    <w:rsid w:val="00A14749"/>
    <w:rsid w:val="00A14F74"/>
    <w:rsid w:val="00A15178"/>
    <w:rsid w:val="00A16461"/>
    <w:rsid w:val="00A17AEA"/>
    <w:rsid w:val="00A20FCF"/>
    <w:rsid w:val="00A23D44"/>
    <w:rsid w:val="00A312E8"/>
    <w:rsid w:val="00A408A0"/>
    <w:rsid w:val="00A4269D"/>
    <w:rsid w:val="00A44AEC"/>
    <w:rsid w:val="00A46A9B"/>
    <w:rsid w:val="00A50C95"/>
    <w:rsid w:val="00A53315"/>
    <w:rsid w:val="00A54284"/>
    <w:rsid w:val="00A55B5F"/>
    <w:rsid w:val="00A56665"/>
    <w:rsid w:val="00A61018"/>
    <w:rsid w:val="00A621B3"/>
    <w:rsid w:val="00A6224C"/>
    <w:rsid w:val="00A65B2E"/>
    <w:rsid w:val="00A662D6"/>
    <w:rsid w:val="00A67773"/>
    <w:rsid w:val="00A71B9A"/>
    <w:rsid w:val="00A74688"/>
    <w:rsid w:val="00A750D1"/>
    <w:rsid w:val="00A82E4E"/>
    <w:rsid w:val="00A8390F"/>
    <w:rsid w:val="00A8540F"/>
    <w:rsid w:val="00A94E43"/>
    <w:rsid w:val="00A96761"/>
    <w:rsid w:val="00AA581C"/>
    <w:rsid w:val="00AA6C83"/>
    <w:rsid w:val="00AB4713"/>
    <w:rsid w:val="00AB7387"/>
    <w:rsid w:val="00AC005E"/>
    <w:rsid w:val="00AC1CD7"/>
    <w:rsid w:val="00AC58B0"/>
    <w:rsid w:val="00AC6BCC"/>
    <w:rsid w:val="00AD2590"/>
    <w:rsid w:val="00AD261D"/>
    <w:rsid w:val="00AD463B"/>
    <w:rsid w:val="00AD5BEC"/>
    <w:rsid w:val="00AD7FD8"/>
    <w:rsid w:val="00AE0C6C"/>
    <w:rsid w:val="00AE1609"/>
    <w:rsid w:val="00AE19E4"/>
    <w:rsid w:val="00AE3D7B"/>
    <w:rsid w:val="00AE7F53"/>
    <w:rsid w:val="00AF0B63"/>
    <w:rsid w:val="00AF279D"/>
    <w:rsid w:val="00AF3EE9"/>
    <w:rsid w:val="00AF4CE3"/>
    <w:rsid w:val="00AF5A35"/>
    <w:rsid w:val="00B019F2"/>
    <w:rsid w:val="00B0235F"/>
    <w:rsid w:val="00B03995"/>
    <w:rsid w:val="00B050F6"/>
    <w:rsid w:val="00B113B0"/>
    <w:rsid w:val="00B12450"/>
    <w:rsid w:val="00B14B32"/>
    <w:rsid w:val="00B22300"/>
    <w:rsid w:val="00B2315A"/>
    <w:rsid w:val="00B2415D"/>
    <w:rsid w:val="00B305AE"/>
    <w:rsid w:val="00B334AC"/>
    <w:rsid w:val="00B33D1B"/>
    <w:rsid w:val="00B348DB"/>
    <w:rsid w:val="00B40131"/>
    <w:rsid w:val="00B44700"/>
    <w:rsid w:val="00B46A06"/>
    <w:rsid w:val="00B50A29"/>
    <w:rsid w:val="00B56A5D"/>
    <w:rsid w:val="00B61251"/>
    <w:rsid w:val="00B63447"/>
    <w:rsid w:val="00B65150"/>
    <w:rsid w:val="00B66282"/>
    <w:rsid w:val="00B67130"/>
    <w:rsid w:val="00B763F2"/>
    <w:rsid w:val="00B77BBE"/>
    <w:rsid w:val="00B81C44"/>
    <w:rsid w:val="00B85F6D"/>
    <w:rsid w:val="00B863F3"/>
    <w:rsid w:val="00B91D49"/>
    <w:rsid w:val="00B922D4"/>
    <w:rsid w:val="00BA01F1"/>
    <w:rsid w:val="00BA2B2A"/>
    <w:rsid w:val="00BA3CBC"/>
    <w:rsid w:val="00BA3E6C"/>
    <w:rsid w:val="00BA42E6"/>
    <w:rsid w:val="00BB0E04"/>
    <w:rsid w:val="00BB2511"/>
    <w:rsid w:val="00BB26F1"/>
    <w:rsid w:val="00BB2E17"/>
    <w:rsid w:val="00BB7607"/>
    <w:rsid w:val="00BC06A3"/>
    <w:rsid w:val="00BC51CA"/>
    <w:rsid w:val="00BC656A"/>
    <w:rsid w:val="00BC6767"/>
    <w:rsid w:val="00BD0CF8"/>
    <w:rsid w:val="00BE0525"/>
    <w:rsid w:val="00BE2592"/>
    <w:rsid w:val="00BE56CF"/>
    <w:rsid w:val="00BE5950"/>
    <w:rsid w:val="00BE7C66"/>
    <w:rsid w:val="00BF17DC"/>
    <w:rsid w:val="00BF252D"/>
    <w:rsid w:val="00BF573E"/>
    <w:rsid w:val="00BF7686"/>
    <w:rsid w:val="00C00D67"/>
    <w:rsid w:val="00C1369C"/>
    <w:rsid w:val="00C16D40"/>
    <w:rsid w:val="00C214BC"/>
    <w:rsid w:val="00C22B45"/>
    <w:rsid w:val="00C27BA9"/>
    <w:rsid w:val="00C27FF7"/>
    <w:rsid w:val="00C317CD"/>
    <w:rsid w:val="00C31E1C"/>
    <w:rsid w:val="00C46F57"/>
    <w:rsid w:val="00C47A5A"/>
    <w:rsid w:val="00C50FD5"/>
    <w:rsid w:val="00C549B4"/>
    <w:rsid w:val="00C54F70"/>
    <w:rsid w:val="00C54FEE"/>
    <w:rsid w:val="00C550FC"/>
    <w:rsid w:val="00C614F3"/>
    <w:rsid w:val="00C61ED6"/>
    <w:rsid w:val="00C62EC9"/>
    <w:rsid w:val="00C65806"/>
    <w:rsid w:val="00C72078"/>
    <w:rsid w:val="00C731E0"/>
    <w:rsid w:val="00C731F7"/>
    <w:rsid w:val="00C74128"/>
    <w:rsid w:val="00C81C83"/>
    <w:rsid w:val="00C82D07"/>
    <w:rsid w:val="00C831E9"/>
    <w:rsid w:val="00C8544B"/>
    <w:rsid w:val="00C87F7D"/>
    <w:rsid w:val="00C94B43"/>
    <w:rsid w:val="00C96106"/>
    <w:rsid w:val="00C9794D"/>
    <w:rsid w:val="00CA128F"/>
    <w:rsid w:val="00CB0CDC"/>
    <w:rsid w:val="00CB3930"/>
    <w:rsid w:val="00CB4DB4"/>
    <w:rsid w:val="00CB6622"/>
    <w:rsid w:val="00CB6A12"/>
    <w:rsid w:val="00CC1973"/>
    <w:rsid w:val="00CC39D9"/>
    <w:rsid w:val="00CC63FD"/>
    <w:rsid w:val="00CC6DA9"/>
    <w:rsid w:val="00CD0050"/>
    <w:rsid w:val="00CD5688"/>
    <w:rsid w:val="00CE0141"/>
    <w:rsid w:val="00CE1FBA"/>
    <w:rsid w:val="00CE3A2E"/>
    <w:rsid w:val="00CE43D9"/>
    <w:rsid w:val="00CE59C9"/>
    <w:rsid w:val="00CF3A5B"/>
    <w:rsid w:val="00CF3E28"/>
    <w:rsid w:val="00CF5043"/>
    <w:rsid w:val="00CF5E37"/>
    <w:rsid w:val="00CF6970"/>
    <w:rsid w:val="00D004E9"/>
    <w:rsid w:val="00D02DFB"/>
    <w:rsid w:val="00D038DF"/>
    <w:rsid w:val="00D051C2"/>
    <w:rsid w:val="00D1607B"/>
    <w:rsid w:val="00D16FA9"/>
    <w:rsid w:val="00D23C97"/>
    <w:rsid w:val="00D27E87"/>
    <w:rsid w:val="00D31EE4"/>
    <w:rsid w:val="00D32A50"/>
    <w:rsid w:val="00D34A5D"/>
    <w:rsid w:val="00D36004"/>
    <w:rsid w:val="00D37844"/>
    <w:rsid w:val="00D400C1"/>
    <w:rsid w:val="00D400F8"/>
    <w:rsid w:val="00D449AA"/>
    <w:rsid w:val="00D44B8D"/>
    <w:rsid w:val="00D45681"/>
    <w:rsid w:val="00D47631"/>
    <w:rsid w:val="00D50DCD"/>
    <w:rsid w:val="00D5147D"/>
    <w:rsid w:val="00D53519"/>
    <w:rsid w:val="00D57F4B"/>
    <w:rsid w:val="00D61208"/>
    <w:rsid w:val="00D63490"/>
    <w:rsid w:val="00D64AD7"/>
    <w:rsid w:val="00D653A6"/>
    <w:rsid w:val="00D66C5E"/>
    <w:rsid w:val="00D7052D"/>
    <w:rsid w:val="00D77885"/>
    <w:rsid w:val="00D843E4"/>
    <w:rsid w:val="00D86FC0"/>
    <w:rsid w:val="00D87E41"/>
    <w:rsid w:val="00D904FB"/>
    <w:rsid w:val="00D91801"/>
    <w:rsid w:val="00D91826"/>
    <w:rsid w:val="00D945EE"/>
    <w:rsid w:val="00DA1B7A"/>
    <w:rsid w:val="00DA3304"/>
    <w:rsid w:val="00DA3CDF"/>
    <w:rsid w:val="00DA455A"/>
    <w:rsid w:val="00DA4F81"/>
    <w:rsid w:val="00DA4FEE"/>
    <w:rsid w:val="00DA7125"/>
    <w:rsid w:val="00DA74E7"/>
    <w:rsid w:val="00DB2C25"/>
    <w:rsid w:val="00DB53BF"/>
    <w:rsid w:val="00DB7C15"/>
    <w:rsid w:val="00DC2C57"/>
    <w:rsid w:val="00DC6B07"/>
    <w:rsid w:val="00DD1B3B"/>
    <w:rsid w:val="00DD6E56"/>
    <w:rsid w:val="00DE21C9"/>
    <w:rsid w:val="00DE25A3"/>
    <w:rsid w:val="00DE694C"/>
    <w:rsid w:val="00DE720E"/>
    <w:rsid w:val="00DF2587"/>
    <w:rsid w:val="00DF2C18"/>
    <w:rsid w:val="00DF3D47"/>
    <w:rsid w:val="00DF5A2B"/>
    <w:rsid w:val="00DF7715"/>
    <w:rsid w:val="00E00564"/>
    <w:rsid w:val="00E0088E"/>
    <w:rsid w:val="00E00E67"/>
    <w:rsid w:val="00E03FAA"/>
    <w:rsid w:val="00E04ADD"/>
    <w:rsid w:val="00E05B51"/>
    <w:rsid w:val="00E0623E"/>
    <w:rsid w:val="00E0783D"/>
    <w:rsid w:val="00E10072"/>
    <w:rsid w:val="00E1045B"/>
    <w:rsid w:val="00E12611"/>
    <w:rsid w:val="00E139D1"/>
    <w:rsid w:val="00E17C35"/>
    <w:rsid w:val="00E20192"/>
    <w:rsid w:val="00E21807"/>
    <w:rsid w:val="00E22F79"/>
    <w:rsid w:val="00E24411"/>
    <w:rsid w:val="00E25C7F"/>
    <w:rsid w:val="00E31E46"/>
    <w:rsid w:val="00E32862"/>
    <w:rsid w:val="00E40FA8"/>
    <w:rsid w:val="00E41811"/>
    <w:rsid w:val="00E42559"/>
    <w:rsid w:val="00E4294B"/>
    <w:rsid w:val="00E42CBC"/>
    <w:rsid w:val="00E45E31"/>
    <w:rsid w:val="00E51AE2"/>
    <w:rsid w:val="00E51F77"/>
    <w:rsid w:val="00E5293A"/>
    <w:rsid w:val="00E562C9"/>
    <w:rsid w:val="00E576C6"/>
    <w:rsid w:val="00E63513"/>
    <w:rsid w:val="00E63FBC"/>
    <w:rsid w:val="00E67193"/>
    <w:rsid w:val="00E7265C"/>
    <w:rsid w:val="00E73B3D"/>
    <w:rsid w:val="00E75800"/>
    <w:rsid w:val="00E76A5D"/>
    <w:rsid w:val="00E76F05"/>
    <w:rsid w:val="00E81194"/>
    <w:rsid w:val="00E82161"/>
    <w:rsid w:val="00E8231E"/>
    <w:rsid w:val="00E831DC"/>
    <w:rsid w:val="00E83B50"/>
    <w:rsid w:val="00E9048F"/>
    <w:rsid w:val="00E90D45"/>
    <w:rsid w:val="00E9358B"/>
    <w:rsid w:val="00E94C20"/>
    <w:rsid w:val="00E959CD"/>
    <w:rsid w:val="00EA1D8F"/>
    <w:rsid w:val="00EB2F0E"/>
    <w:rsid w:val="00EC2964"/>
    <w:rsid w:val="00EC2A22"/>
    <w:rsid w:val="00EC3F0A"/>
    <w:rsid w:val="00EC6649"/>
    <w:rsid w:val="00EC7D19"/>
    <w:rsid w:val="00ED0C41"/>
    <w:rsid w:val="00ED118C"/>
    <w:rsid w:val="00ED5AB8"/>
    <w:rsid w:val="00ED76C8"/>
    <w:rsid w:val="00ED7F35"/>
    <w:rsid w:val="00EE1738"/>
    <w:rsid w:val="00EE1FF3"/>
    <w:rsid w:val="00EE36D7"/>
    <w:rsid w:val="00EE60B5"/>
    <w:rsid w:val="00EE6546"/>
    <w:rsid w:val="00EE6912"/>
    <w:rsid w:val="00EE714A"/>
    <w:rsid w:val="00EE76F0"/>
    <w:rsid w:val="00EF08C6"/>
    <w:rsid w:val="00EF2155"/>
    <w:rsid w:val="00F02092"/>
    <w:rsid w:val="00F029A9"/>
    <w:rsid w:val="00F12BB4"/>
    <w:rsid w:val="00F238D4"/>
    <w:rsid w:val="00F23C8D"/>
    <w:rsid w:val="00F31592"/>
    <w:rsid w:val="00F36857"/>
    <w:rsid w:val="00F37471"/>
    <w:rsid w:val="00F44FD9"/>
    <w:rsid w:val="00F455EE"/>
    <w:rsid w:val="00F45A87"/>
    <w:rsid w:val="00F4610A"/>
    <w:rsid w:val="00F545EB"/>
    <w:rsid w:val="00F558DC"/>
    <w:rsid w:val="00F558F8"/>
    <w:rsid w:val="00F55B36"/>
    <w:rsid w:val="00F56B45"/>
    <w:rsid w:val="00F56E4F"/>
    <w:rsid w:val="00F61A82"/>
    <w:rsid w:val="00F65935"/>
    <w:rsid w:val="00F6661F"/>
    <w:rsid w:val="00F743D9"/>
    <w:rsid w:val="00F87FD1"/>
    <w:rsid w:val="00F90200"/>
    <w:rsid w:val="00F90B7E"/>
    <w:rsid w:val="00F9383A"/>
    <w:rsid w:val="00F93F70"/>
    <w:rsid w:val="00F9510D"/>
    <w:rsid w:val="00FA0A24"/>
    <w:rsid w:val="00FA31B7"/>
    <w:rsid w:val="00FA3550"/>
    <w:rsid w:val="00FA51B8"/>
    <w:rsid w:val="00FA696F"/>
    <w:rsid w:val="00FA69E5"/>
    <w:rsid w:val="00FA6F34"/>
    <w:rsid w:val="00FB16E0"/>
    <w:rsid w:val="00FB205B"/>
    <w:rsid w:val="00FB2FB8"/>
    <w:rsid w:val="00FC1157"/>
    <w:rsid w:val="00FC2346"/>
    <w:rsid w:val="00FC54C7"/>
    <w:rsid w:val="00FC5B79"/>
    <w:rsid w:val="00FC62DC"/>
    <w:rsid w:val="00FC72AA"/>
    <w:rsid w:val="00FD0363"/>
    <w:rsid w:val="00FD04E7"/>
    <w:rsid w:val="00FD49BE"/>
    <w:rsid w:val="00FD4F28"/>
    <w:rsid w:val="00FD5C7C"/>
    <w:rsid w:val="00FD79B0"/>
    <w:rsid w:val="00FE39E9"/>
    <w:rsid w:val="00FE4E01"/>
    <w:rsid w:val="00FE5190"/>
    <w:rsid w:val="00FE75F7"/>
    <w:rsid w:val="00FF428A"/>
    <w:rsid w:val="00FF4322"/>
    <w:rsid w:val="00FF4B65"/>
    <w:rsid w:val="00FF5629"/>
    <w:rsid w:val="00FF6632"/>
    <w:rsid w:val="00FF7406"/>
    <w:rsid w:val="056601F1"/>
    <w:rsid w:val="139E0F3F"/>
    <w:rsid w:val="41841305"/>
    <w:rsid w:val="70430F49"/>
    <w:rsid w:val="76F007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Body Text Indent"/>
    <w:basedOn w:val="1"/>
    <w:qFormat/>
    <w:uiPriority w:val="0"/>
    <w:pPr>
      <w:spacing w:line="540" w:lineRule="exact"/>
      <w:ind w:firstLine="605" w:firstLineChars="200"/>
    </w:pPr>
    <w:rPr>
      <w:rFonts w:ascii="仿宋_GB2312"/>
    </w:rPr>
  </w:style>
  <w:style w:type="paragraph" w:styleId="4">
    <w:name w:val="Body Text Indent 2"/>
    <w:basedOn w:val="1"/>
    <w:uiPriority w:val="0"/>
    <w:pPr>
      <w:ind w:firstLine="624"/>
    </w:pPr>
    <w:rPr>
      <w:rFonts w:ascii="仿宋_GB231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uiPriority w:val="0"/>
    <w:pPr>
      <w:ind w:firstLine="628" w:firstLineChars="200"/>
    </w:pPr>
    <w:rPr>
      <w:rFonts w:ascii="仿宋_GB2312"/>
    </w:rPr>
  </w:style>
  <w:style w:type="character" w:styleId="9">
    <w:name w:val="page number"/>
    <w:basedOn w:val="8"/>
    <w:qFormat/>
    <w:uiPriority w:val="0"/>
  </w:style>
  <w:style w:type="character" w:styleId="10">
    <w:name w:val="Hyperlink"/>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ontent"/>
    <w:basedOn w:val="1"/>
    <w:qFormat/>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25991;&#20070;&#26679;&#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被告人认罪案件刑事判决书.dot</Template>
  <Company>dlfy</Company>
  <Pages>1</Pages>
  <Words>343</Words>
  <Characters>1959</Characters>
  <Lines>16</Lines>
  <Paragraphs>4</Paragraphs>
  <TotalTime>0</TotalTime>
  <ScaleCrop>false</ScaleCrop>
  <LinksUpToDate>false</LinksUpToDate>
  <CharactersWithSpaces>2298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2015-07-09T06:38:00Z</dcterms:created>
  <dc:creator>cityhunter</dc:creator>
  <cp:lastModifiedBy>TF-PC</cp:lastModifiedBy>
  <cp:lastPrinted>2008-03-21T06:40:00Z</cp:lastPrinted>
  <dcterms:modified xsi:type="dcterms:W3CDTF">2018-08-27T09:41:52Z</dcterms:modified>
  <dc:title>天津市东丽区人民法院刑事判决书（稿）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