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5" w:rightChars="0"/>
        <w:jc w:val="center"/>
        <w:textAlignment w:val="auto"/>
        <w:outlineLvl w:val="9"/>
        <w:rPr>
          <w:rFonts w:hint="eastAsia" w:ascii="方正小标宋简体" w:eastAsia="方正小标宋简体"/>
          <w:color w:val="auto"/>
          <w:sz w:val="44"/>
          <w:highlight w:val="none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5" w:rightChars="0"/>
        <w:jc w:val="center"/>
        <w:textAlignment w:val="auto"/>
        <w:outlineLvl w:val="9"/>
        <w:rPr>
          <w:rFonts w:hint="eastAsia" w:ascii="方正小标宋简体" w:eastAsia="方正小标宋简体"/>
          <w:color w:val="auto"/>
          <w:sz w:val="44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5" w:rightChars="0"/>
        <w:jc w:val="center"/>
        <w:textAlignment w:val="auto"/>
        <w:outlineLvl w:val="9"/>
        <w:rPr>
          <w:rFonts w:hint="eastAsia" w:ascii="方正小标宋简体" w:eastAsia="方正小标宋简体"/>
          <w:color w:val="auto"/>
          <w:sz w:val="44"/>
          <w:highlight w:val="none"/>
        </w:rPr>
      </w:pPr>
      <w:r>
        <w:rPr>
          <w:rFonts w:hint="eastAsia" w:ascii="方正小标宋简体" w:eastAsia="方正小标宋简体"/>
          <w:color w:val="auto"/>
          <w:sz w:val="44"/>
          <w:highlight w:val="none"/>
        </w:rPr>
        <w:t>天津市武清区人民法院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/>
        <w:jc w:val="center"/>
        <w:textAlignment w:val="auto"/>
        <w:outlineLvl w:val="9"/>
        <w:rPr>
          <w:rFonts w:hint="eastAsia" w:ascii="方正小标宋简体" w:eastAsia="方正小标宋简体"/>
          <w:color w:val="auto"/>
          <w:spacing w:val="50"/>
          <w:sz w:val="52"/>
          <w:szCs w:val="52"/>
          <w:highlight w:val="none"/>
        </w:rPr>
      </w:pPr>
      <w:r>
        <w:rPr>
          <w:rFonts w:hint="eastAsia" w:ascii="方正小标宋简体" w:eastAsia="方正小标宋简体"/>
          <w:color w:val="auto"/>
          <w:sz w:val="44"/>
          <w:highlight w:val="none"/>
        </w:rPr>
        <w:t>刑 事 判 决 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644" w:firstLine="622" w:firstLineChars="200"/>
        <w:textAlignment w:val="auto"/>
        <w:outlineLvl w:val="9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 xml:space="preserve">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644" w:firstLine="4354" w:firstLineChars="1400"/>
        <w:textAlignment w:val="auto"/>
        <w:outlineLvl w:val="9"/>
        <w:rPr>
          <w:rFonts w:hint="eastAsia" w:ascii="仿宋_GB2312" w:eastAsia="仿宋_GB2312"/>
          <w:color w:val="auto"/>
          <w:sz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（201</w:t>
      </w:r>
      <w:r>
        <w:rPr>
          <w:rFonts w:hint="eastAsia" w:ascii="仿宋_GB2312" w:eastAsia="仿宋_GB2312"/>
          <w:color w:val="auto"/>
          <w:sz w:val="32"/>
          <w:szCs w:val="32"/>
          <w:highlight w:val="none"/>
          <w:lang w:val="en-US" w:eastAsia="zh-CN"/>
        </w:rPr>
        <w:t>7</w:t>
      </w: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）津0114刑初</w:t>
      </w:r>
      <w:r>
        <w:rPr>
          <w:rFonts w:hint="eastAsia" w:ascii="仿宋_GB2312" w:eastAsia="仿宋_GB2312"/>
          <w:color w:val="auto"/>
          <w:sz w:val="32"/>
          <w:szCs w:val="32"/>
          <w:highlight w:val="none"/>
          <w:lang w:val="en-US" w:eastAsia="zh-CN"/>
        </w:rPr>
        <w:t>41</w:t>
      </w: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号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firstLine="645"/>
        <w:textAlignment w:val="auto"/>
        <w:outlineLvl w:val="9"/>
        <w:rPr>
          <w:rFonts w:hint="eastAsia" w:ascii="仿宋_GB2312" w:eastAsia="仿宋_GB2312"/>
          <w:color w:val="auto"/>
          <w:sz w:val="32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57" w:rightChars="0" w:firstLine="622" w:firstLineChars="200"/>
        <w:textAlignment w:val="auto"/>
        <w:outlineLvl w:val="9"/>
        <w:rPr>
          <w:rFonts w:ascii="仿宋_GB2312" w:eastAsia="仿宋_GB2312"/>
          <w:color w:val="auto"/>
          <w:sz w:val="32"/>
          <w:highlight w:val="none"/>
        </w:rPr>
      </w:pPr>
      <w:r>
        <w:rPr>
          <w:rFonts w:hint="eastAsia" w:ascii="仿宋_GB2312" w:eastAsia="仿宋_GB2312"/>
          <w:color w:val="auto"/>
          <w:sz w:val="32"/>
          <w:highlight w:val="none"/>
        </w:rPr>
        <w:t>公诉机关天津市武清区人民检察院。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eastAsia="仿宋_GB2312"/>
          <w:color w:val="auto"/>
          <w:sz w:val="32"/>
          <w:highlight w:val="none"/>
        </w:rPr>
      </w:pPr>
      <w:r>
        <w:rPr>
          <w:rFonts w:hint="eastAsia" w:ascii="仿宋_GB2312" w:eastAsia="仿宋_GB2312"/>
          <w:color w:val="auto"/>
          <w:sz w:val="32"/>
          <w:highlight w:val="none"/>
        </w:rPr>
        <w:t>被告人王海东，男，1981年11月10日出生于天津市武清区，汉族，群众，初中文化，农民，住武清区上马台镇大康庄村8区2排7号。因涉嫌犯信用卡诈骗罪于2016年7月7日被天津市公安局武清分局取保候审，2016年8月26日被天津市武清区人民检察院取保候审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hAnsi="宋体" w:eastAsia="仿宋_GB2312"/>
          <w:color w:val="auto"/>
          <w:sz w:val="32"/>
          <w:highlight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highlight w:val="none"/>
        </w:rPr>
        <w:t>天津市武清区人民检察院以津武检公诉刑诉[2016]672号起诉书指控</w:t>
      </w:r>
      <w:r>
        <w:rPr>
          <w:rFonts w:hint="eastAsia" w:ascii="仿宋_GB2312" w:hAnsi="宋体" w:eastAsia="仿宋_GB2312"/>
          <w:color w:val="auto"/>
          <w:sz w:val="32"/>
          <w:highlight w:val="none"/>
          <w:lang w:eastAsia="zh-CN"/>
        </w:rPr>
        <w:t>被告人王海东犯信用卡诈骗罪，于</w:t>
      </w:r>
      <w:r>
        <w:rPr>
          <w:rFonts w:hint="eastAsia" w:ascii="仿宋_GB2312" w:hAnsi="宋体" w:eastAsia="仿宋_GB2312"/>
          <w:color w:val="auto"/>
          <w:sz w:val="32"/>
          <w:highlight w:val="none"/>
          <w:lang w:val="en-US" w:eastAsia="zh-CN"/>
        </w:rPr>
        <w:t>2017年1月6日向本院提起公诉。本院于当日立案，并依法组成合议庭，公开开庭进行了审理。天津市武清区人民检察院指派代理检察员唐明出庭支持公诉，被告人王海东到庭参加了诉讼。在2017年4月6日开庭审理中，公诉人发现案件需要补充侦查，建议延期审理，合议庭同意，本案延期审理。同年5月6日公诉人补充侦查完毕，将证据材料移送本院，并提请恢复法庭审理。在审理过程中，公诉人发现案件仍需补充侦查，于2017年8月4日再次建议延期审理，合议庭同意。公诉人于同年9月4日补充侦查完毕，将证据材料移送本院，并提请恢复法庭审理。现已审理终结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eastAsia="仿宋_GB2312"/>
          <w:color w:val="auto"/>
          <w:sz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highlight w:val="none"/>
          <w:lang w:val="en-US" w:eastAsia="zh-CN"/>
        </w:rPr>
        <w:t>经审理查明，</w:t>
      </w:r>
      <w:r>
        <w:rPr>
          <w:rFonts w:hint="eastAsia" w:ascii="仿宋_GB2312" w:eastAsia="仿宋_GB2312"/>
          <w:color w:val="auto"/>
          <w:sz w:val="32"/>
          <w:highlight w:val="none"/>
        </w:rPr>
        <w:t>被告人王海东于2008年9月至2016年4月期间，使用其朋友刘</w:t>
      </w:r>
      <w:r>
        <w:rPr>
          <w:rFonts w:hint="eastAsia" w:ascii="仿宋_GB2312" w:eastAsia="仿宋_GB2312"/>
          <w:color w:val="auto"/>
          <w:sz w:val="32"/>
          <w:highlight w:val="none"/>
          <w:lang w:eastAsia="zh-CN"/>
        </w:rPr>
        <w:t>铁</w:t>
      </w:r>
      <w:r>
        <w:rPr>
          <w:rFonts w:hint="eastAsia" w:ascii="仿宋_GB2312" w:eastAsia="仿宋_GB2312"/>
          <w:color w:val="auto"/>
          <w:sz w:val="32"/>
          <w:highlight w:val="none"/>
        </w:rPr>
        <w:t>于2008年7月31日申领的中国光大银行天津分行信用卡1张，在天津市武清区等多地进行消费，累计透支共计人民币</w:t>
      </w:r>
      <w:r>
        <w:rPr>
          <w:rFonts w:hint="eastAsia" w:ascii="仿宋_GB2312" w:eastAsia="仿宋_GB2312"/>
          <w:color w:val="auto"/>
          <w:sz w:val="32"/>
          <w:highlight w:val="none"/>
          <w:lang w:eastAsia="zh-CN"/>
        </w:rPr>
        <w:t>129,038</w:t>
      </w:r>
      <w:r>
        <w:rPr>
          <w:rFonts w:hint="eastAsia" w:ascii="仿宋_GB2312" w:eastAsia="仿宋_GB2312"/>
          <w:color w:val="auto"/>
          <w:sz w:val="32"/>
          <w:highlight w:val="none"/>
          <w:lang w:val="en-US" w:eastAsia="zh-CN"/>
        </w:rPr>
        <w:t>.28</w:t>
      </w:r>
      <w:r>
        <w:rPr>
          <w:rFonts w:hint="eastAsia" w:ascii="仿宋_GB2312" w:eastAsia="仿宋_GB2312"/>
          <w:color w:val="auto"/>
          <w:sz w:val="32"/>
          <w:highlight w:val="none"/>
        </w:rPr>
        <w:t xml:space="preserve">元，发卡行多次对其进行催收，被告人王海东在被发卡行第二次催收后超过3个月仍未归还欠款。    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eastAsia="仿宋_GB2312"/>
          <w:color w:val="auto"/>
          <w:sz w:val="32"/>
          <w:highlight w:val="none"/>
        </w:rPr>
      </w:pPr>
      <w:r>
        <w:rPr>
          <w:rFonts w:hint="eastAsia" w:ascii="仿宋_GB2312" w:eastAsia="仿宋_GB2312"/>
          <w:color w:val="auto"/>
          <w:sz w:val="32"/>
          <w:highlight w:val="none"/>
        </w:rPr>
        <w:t>被告人王海东于2016年7月4日主动到公安机关投案</w:t>
      </w:r>
      <w:r>
        <w:rPr>
          <w:rFonts w:hint="eastAsia" w:ascii="仿宋_GB2312" w:eastAsia="仿宋_GB2312"/>
          <w:color w:val="auto"/>
          <w:sz w:val="32"/>
          <w:highlight w:val="none"/>
          <w:lang w:eastAsia="zh-CN"/>
        </w:rPr>
        <w:t>，如实供述了上述事实，并于当日归还了拖欠银行的全部款项</w:t>
      </w:r>
      <w:r>
        <w:rPr>
          <w:rFonts w:hint="eastAsia" w:ascii="仿宋_GB2312" w:eastAsia="仿宋_GB2312"/>
          <w:color w:val="auto"/>
          <w:sz w:val="32"/>
          <w:highlight w:val="none"/>
        </w:rPr>
        <w:t>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eastAsia="仿宋_GB2312"/>
          <w:color w:val="auto"/>
          <w:sz w:val="32"/>
          <w:highlight w:val="none"/>
          <w:lang w:eastAsia="zh-CN"/>
        </w:rPr>
      </w:pPr>
      <w:r>
        <w:rPr>
          <w:rFonts w:hint="eastAsia" w:ascii="仿宋_GB2312" w:eastAsia="仿宋_GB2312"/>
          <w:color w:val="auto"/>
          <w:sz w:val="32"/>
          <w:highlight w:val="none"/>
          <w:lang w:eastAsia="zh-CN"/>
        </w:rPr>
        <w:t>上述事实，被告人王海东在开庭审理中亦无异议，且有案件来源及到案经过，证人证言，中国光大银行天津分行关于信用卡恶意透支的举报材料、信用卡开卡资料、账单、交易明细、催收手续、现金还款回单及被告人供述等证据予以证明，足以认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highlight w:val="none"/>
          <w:lang w:eastAsia="zh-CN"/>
        </w:rPr>
        <w:t>本院认为，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王海东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以非法占有为目的，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使用他人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信用卡多次透支，且超过规定期限拒不还款，经发卡行多次催收，仍拒不归还，属恶意透支，且属数额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巨大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，其行为已构成信用卡诈骗罪。公诉机关对被告人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王海东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犯罪的指控成立，要求适用法律条款的意见正确，应予采纳。被告人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王海东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在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案发后能够主动投案，如实供述自己的罪行，是自首，依法可减轻处罚。被告人王海东在投案时已经归还全部欠款，有悔罪表现，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依法均酌情从轻处罚。综上，被告人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王海东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犯信用卡诈骗罪，法定量刑幅度为</w:t>
      </w: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五年以上十年以下有期徒刑，并处五万元以上五十万元以下罚金</w:t>
      </w:r>
      <w:r>
        <w:rPr>
          <w:rFonts w:hint="eastAsia" w:ascii="仿宋_GB2312" w:eastAsia="仿宋_GB2312"/>
          <w:color w:val="auto"/>
          <w:sz w:val="32"/>
          <w:szCs w:val="32"/>
          <w:highlight w:val="none"/>
          <w:lang w:eastAsia="zh-CN"/>
        </w:rPr>
        <w:t>。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对公诉人综合案件情况发表的建议判处被告人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王海东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有期徒刑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u w:val="none"/>
          <w:lang w:eastAsia="zh-CN"/>
        </w:rPr>
        <w:t>三年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u w:val="none"/>
        </w:rPr>
        <w:t>至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u w:val="none"/>
          <w:lang w:eastAsia="zh-CN"/>
        </w:rPr>
        <w:t>五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u w:val="none"/>
        </w:rPr>
        <w:t>年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，并处罚金的量刑意见，本院予以考虑。本院为维护市场经济秩序，保障国家的金融管理制度和公私财产所有权不受侵犯，打击犯罪，依照《中华人民共和国刑法》第一百九十六条第一款第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>(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四）项、第二款、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第六十七条第一款、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第七十二条第一款、第三款、第七十三条第二款、第三款的规定，判决如下：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cr/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    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王海东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犯信用卡诈骗罪，判处有期徒刑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三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年，缓刑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三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年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六个月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，并处罚金人民币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>50,000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元（</w:t>
      </w:r>
      <w:r>
        <w:rPr>
          <w:rFonts w:hint="eastAsia" w:ascii="仿宋_GB2312" w:hAnsi="宋体" w:eastAsia="仿宋_GB2312"/>
          <w:color w:val="auto"/>
          <w:sz w:val="32"/>
          <w:highlight w:val="none"/>
        </w:rPr>
        <w:t>缓刑考验期限，从判决确定之日起计算；在刑罚执行期间，被告人应当在相关组织接受社区矫正</w:t>
      </w:r>
      <w:r>
        <w:rPr>
          <w:rFonts w:hint="eastAsia" w:ascii="仿宋_GB2312" w:hAnsi="宋体" w:eastAsia="仿宋_GB2312"/>
          <w:color w:val="auto"/>
          <w:sz w:val="32"/>
          <w:highlight w:val="none"/>
          <w:lang w:eastAsia="zh-CN"/>
        </w:rPr>
        <w:t>；</w:t>
      </w: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罚金</w:t>
      </w:r>
      <w:r>
        <w:rPr>
          <w:rFonts w:hint="eastAsia" w:ascii="仿宋_GB2312" w:hAnsi="宋体" w:eastAsia="仿宋_GB2312"/>
          <w:color w:val="auto"/>
          <w:sz w:val="32"/>
          <w:highlight w:val="none"/>
        </w:rPr>
        <w:t>自判决生效的第二日起十日内缴纳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如不服本判决，可在接到判决书的第二日起十日内，通过本院或者直接向天津市第一中级人民法院提出上诉，书面上诉的，应当提交上诉状正本一份、副本一份。</w:t>
      </w:r>
    </w:p>
    <w:p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                      </w:t>
      </w:r>
    </w:p>
    <w:p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                    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审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 判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长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    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李宗莲</w:t>
      </w:r>
    </w:p>
    <w:p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                    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人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民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陪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审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员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     李克红</w:t>
      </w:r>
    </w:p>
    <w:p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                     人 民 陪 审 员      肖玉霞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outlineLvl w:val="9"/>
        <w:rPr>
          <w:rFonts w:ascii="仿宋_GB2312" w:eastAsia="仿宋_GB2312"/>
          <w:color w:val="auto"/>
          <w:kern w:val="0"/>
          <w:sz w:val="32"/>
          <w:szCs w:val="30"/>
          <w:highlight w:val="none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</w:pPr>
    </w:p>
    <w:p>
      <w:pPr>
        <w:keepNext w:val="0"/>
        <w:keepLines w:val="0"/>
        <w:pageBreakBefore w:val="0"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                      二〇一七年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十一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月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二十七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>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right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outlineLvl w:val="9"/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                      书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  记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 员      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  <w:lang w:eastAsia="zh-CN"/>
        </w:rPr>
        <w:t>常忠圆</w:t>
      </w:r>
      <w:r>
        <w:rPr>
          <w:rFonts w:hint="eastAsia" w:ascii="仿宋_GB2312" w:eastAsia="仿宋_GB2312"/>
          <w:color w:val="auto"/>
          <w:kern w:val="0"/>
          <w:sz w:val="32"/>
          <w:szCs w:val="30"/>
          <w:highlight w:val="none"/>
        </w:rPr>
        <w:t xml:space="preserve">                     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640"/>
        <w:textAlignment w:val="auto"/>
        <w:outlineLvl w:val="9"/>
        <w:rPr>
          <w:rFonts w:hint="eastAsia" w:ascii="仿宋_GB2312" w:hAnsi="Times New Roman" w:eastAsia="仿宋_GB2312" w:cs="Times New Roman"/>
          <w:color w:val="auto"/>
          <w:sz w:val="32"/>
          <w:szCs w:val="32"/>
          <w:highlight w:val="none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640"/>
        <w:textAlignment w:val="auto"/>
        <w:outlineLvl w:val="9"/>
        <w:rPr>
          <w:rFonts w:hint="eastAsia" w:ascii="仿宋_GB2312" w:hAnsi="Times New Roman" w:eastAsia="仿宋_GB2312" w:cs="Times New Roman"/>
          <w:color w:val="auto"/>
          <w:sz w:val="32"/>
          <w:szCs w:val="32"/>
          <w:highlight w:val="none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640"/>
        <w:textAlignment w:val="auto"/>
        <w:outlineLvl w:val="9"/>
        <w:rPr>
          <w:rFonts w:hint="eastAsia" w:ascii="仿宋_GB2312" w:hAnsi="Times New Roman" w:eastAsia="仿宋_GB2312" w:cs="Times New Roman"/>
          <w:color w:val="auto"/>
          <w:sz w:val="32"/>
          <w:szCs w:val="32"/>
          <w:highlight w:val="none"/>
        </w:rPr>
      </w:pPr>
      <w:r>
        <w:rPr>
          <w:rFonts w:hint="eastAsia" w:ascii="仿宋_GB2312" w:hAnsi="Times New Roman" w:eastAsia="仿宋_GB2312" w:cs="Times New Roman"/>
          <w:color w:val="auto"/>
          <w:sz w:val="32"/>
          <w:szCs w:val="32"/>
          <w:highlight w:val="none"/>
        </w:rPr>
        <w:t>附判决引用的《中华人民共和国刑法》相关条款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outlineLvl w:val="9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 xml:space="preserve">    第一百九十六条　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outlineLvl w:val="9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　　(一)使用伪造的信用卡，或者使用以虚假的身份证明骗领的信用卡的;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outlineLvl w:val="9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　　(二)使用作废的信用卡的;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outlineLvl w:val="9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　　(三)冒用他人信用卡的;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outlineLvl w:val="9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　　(四)恶意透支的。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outlineLvl w:val="9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　　前款所称恶意透支，是指持卡人以非法占有为目的，超过规定限额或者规定期限透支，并且经发卡银行催收后仍不归还的行为。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盗窃信用卡并使用的，依照本法第二百六十四条的规定定罪处罚。</w:t>
      </w:r>
    </w:p>
    <w:p>
      <w:pPr>
        <w:pStyle w:val="2"/>
        <w:keepNext w:val="0"/>
        <w:keepLines w:val="0"/>
        <w:pageBreakBefore w:val="0"/>
        <w:tabs>
          <w:tab w:val="left" w:pos="8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eastAsia="仿宋_GB2312"/>
          <w:color w:val="auto"/>
          <w:sz w:val="32"/>
          <w:highlight w:val="none"/>
        </w:rPr>
      </w:pPr>
      <w:r>
        <w:rPr>
          <w:rFonts w:hint="eastAsia" w:ascii="仿宋_GB2312" w:hAnsi="Arial Narrow" w:eastAsia="仿宋_GB2312" w:cs="宋体"/>
          <w:color w:val="auto"/>
          <w:kern w:val="0"/>
          <w:sz w:val="32"/>
          <w:szCs w:val="32"/>
          <w:highlight w:val="none"/>
        </w:rPr>
        <w:t>第六十七条 犯罪以后自动投案，如实供述自己的罪行的，是自首。对于自首的犯</w:t>
      </w:r>
      <w:r>
        <w:rPr>
          <w:rFonts w:hint="eastAsia" w:ascii="仿宋_GB2312" w:eastAsia="仿宋_GB2312"/>
          <w:color w:val="auto"/>
          <w:sz w:val="32"/>
          <w:highlight w:val="none"/>
        </w:rPr>
        <w:t>罪分子，可以从轻或者减轻处罚。其中，犯罪较轻的，可以免除处罚。</w:t>
      </w:r>
    </w:p>
    <w:p>
      <w:pPr>
        <w:pStyle w:val="2"/>
        <w:keepNext w:val="0"/>
        <w:keepLines w:val="0"/>
        <w:pageBreakBefore w:val="0"/>
        <w:tabs>
          <w:tab w:val="left" w:pos="8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eastAsia="仿宋_GB2312"/>
          <w:color w:val="auto"/>
          <w:sz w:val="32"/>
          <w:highlight w:val="none"/>
        </w:rPr>
      </w:pPr>
      <w:r>
        <w:rPr>
          <w:rFonts w:hint="eastAsia" w:ascii="仿宋_GB2312" w:eastAsia="仿宋_GB2312"/>
          <w:color w:val="auto"/>
          <w:sz w:val="32"/>
          <w:highlight w:val="none"/>
        </w:rPr>
        <w:t>被采取强制措施的犯罪嫌疑人、被告人和正在服刑的罪犯，如实供述司法机关还未掌握的本人其他罪行的，以自首论。</w:t>
      </w:r>
    </w:p>
    <w:p>
      <w:pPr>
        <w:pStyle w:val="2"/>
        <w:keepNext w:val="0"/>
        <w:keepLines w:val="0"/>
        <w:pageBreakBefore w:val="0"/>
        <w:tabs>
          <w:tab w:val="left" w:pos="8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highlight w:val="none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  <w:t>第七十二条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640"/>
        <w:textAlignment w:val="auto"/>
        <w:outlineLvl w:val="9"/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  <w:t>（一）犯罪情节较轻；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640"/>
        <w:textAlignment w:val="auto"/>
        <w:outlineLvl w:val="9"/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  <w:t>（二）有悔罪表现；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640"/>
        <w:textAlignment w:val="auto"/>
        <w:outlineLvl w:val="9"/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  <w:t>（三）没有再犯罪的危险；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  <w:t>（四）宣告缓刑对所居住社区没有重大不良影响。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  <w:t>宣告缓刑，可以根据犯罪情况，同时禁止犯罪分子在缓刑考验期限内从事特定活动，进入特定区域、场所，接触特定的人。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  <w:t>被宣告缓刑的犯罪分子，如果被判处附加刑，附加刑仍须执行。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  <w:t>第七十三条 拘役的缓刑考验期限为原判刑期以上一年以下，但是不能少于二个月。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  <w:t>有期徒刑的缓刑考验期限为原判刑期以上五年以下，但是不能少于一年。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highlight w:val="none"/>
        </w:rPr>
        <w:t>缓刑考验期限，从判决确定之日起计算。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hAnsi="Arial Narrow" w:eastAsia="仿宋_GB2312" w:cs="宋体"/>
          <w:color w:val="auto"/>
          <w:kern w:val="0"/>
          <w:sz w:val="32"/>
          <w:szCs w:val="32"/>
          <w:highlight w:val="none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hAnsi="宋体" w:eastAsia="仿宋_GB2312"/>
          <w:color w:val="auto"/>
          <w:sz w:val="32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hAnsi="宋体" w:eastAsia="仿宋_GB2312"/>
          <w:color w:val="auto"/>
          <w:sz w:val="32"/>
          <w:highlight w:val="none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41" w:right="1531" w:bottom="2041" w:left="1531" w:header="851" w:footer="1134" w:gutter="0"/>
      <w:cols w:space="720" w:num="1"/>
      <w:rtlGutter w:val="0"/>
      <w:docGrid w:type="linesAndChars" w:linePitch="579" w:charSpace="-1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 weight="1.25pt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1"/>
  <w:drawingGridVerticalSpacing w:val="290"/>
  <w:displayHorizontalDrawingGridEvery w:val="2"/>
  <w:displayVerticalDrawingGridEvery w:val="2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DEE"/>
    <w:rsid w:val="0003710F"/>
    <w:rsid w:val="000434D5"/>
    <w:rsid w:val="00097183"/>
    <w:rsid w:val="000A1851"/>
    <w:rsid w:val="000A1C25"/>
    <w:rsid w:val="000A2E41"/>
    <w:rsid w:val="000B2973"/>
    <w:rsid w:val="000D1BEC"/>
    <w:rsid w:val="000E4925"/>
    <w:rsid w:val="00100763"/>
    <w:rsid w:val="001069C2"/>
    <w:rsid w:val="00111B16"/>
    <w:rsid w:val="00120844"/>
    <w:rsid w:val="00126DC3"/>
    <w:rsid w:val="00137541"/>
    <w:rsid w:val="001513E0"/>
    <w:rsid w:val="00184339"/>
    <w:rsid w:val="00190B28"/>
    <w:rsid w:val="001A2917"/>
    <w:rsid w:val="001C1AAA"/>
    <w:rsid w:val="001C4753"/>
    <w:rsid w:val="001C60F9"/>
    <w:rsid w:val="001D23AC"/>
    <w:rsid w:val="001F1ABA"/>
    <w:rsid w:val="001F3713"/>
    <w:rsid w:val="002167FC"/>
    <w:rsid w:val="002243D5"/>
    <w:rsid w:val="002414DA"/>
    <w:rsid w:val="00251EBC"/>
    <w:rsid w:val="00263AB8"/>
    <w:rsid w:val="00271F6F"/>
    <w:rsid w:val="00296574"/>
    <w:rsid w:val="002D501A"/>
    <w:rsid w:val="002E134B"/>
    <w:rsid w:val="002E5158"/>
    <w:rsid w:val="002E7CB4"/>
    <w:rsid w:val="002F2D17"/>
    <w:rsid w:val="002F6DDE"/>
    <w:rsid w:val="003219F8"/>
    <w:rsid w:val="00331185"/>
    <w:rsid w:val="00334CD6"/>
    <w:rsid w:val="00351A6C"/>
    <w:rsid w:val="00365C0C"/>
    <w:rsid w:val="00375895"/>
    <w:rsid w:val="00386BCB"/>
    <w:rsid w:val="00393D20"/>
    <w:rsid w:val="003C1E59"/>
    <w:rsid w:val="003C769E"/>
    <w:rsid w:val="003D441E"/>
    <w:rsid w:val="003D4F24"/>
    <w:rsid w:val="003E3F96"/>
    <w:rsid w:val="003E4CAB"/>
    <w:rsid w:val="004004E1"/>
    <w:rsid w:val="004130C4"/>
    <w:rsid w:val="00442F8E"/>
    <w:rsid w:val="00445D0B"/>
    <w:rsid w:val="00453EF2"/>
    <w:rsid w:val="00455374"/>
    <w:rsid w:val="004570CD"/>
    <w:rsid w:val="004765FA"/>
    <w:rsid w:val="00495BB3"/>
    <w:rsid w:val="004A400E"/>
    <w:rsid w:val="004C75F5"/>
    <w:rsid w:val="004D0485"/>
    <w:rsid w:val="004E1971"/>
    <w:rsid w:val="004F46B0"/>
    <w:rsid w:val="00515292"/>
    <w:rsid w:val="00521871"/>
    <w:rsid w:val="00543810"/>
    <w:rsid w:val="00546753"/>
    <w:rsid w:val="00546824"/>
    <w:rsid w:val="00570933"/>
    <w:rsid w:val="005738FF"/>
    <w:rsid w:val="00586854"/>
    <w:rsid w:val="00586917"/>
    <w:rsid w:val="005B4A69"/>
    <w:rsid w:val="005B7C87"/>
    <w:rsid w:val="005C26CF"/>
    <w:rsid w:val="005E284F"/>
    <w:rsid w:val="005F3302"/>
    <w:rsid w:val="00616B43"/>
    <w:rsid w:val="0061700E"/>
    <w:rsid w:val="006227C6"/>
    <w:rsid w:val="00625AD3"/>
    <w:rsid w:val="00635367"/>
    <w:rsid w:val="00640474"/>
    <w:rsid w:val="00644A26"/>
    <w:rsid w:val="006811B3"/>
    <w:rsid w:val="0068774A"/>
    <w:rsid w:val="006A13B7"/>
    <w:rsid w:val="006B33F9"/>
    <w:rsid w:val="006D148B"/>
    <w:rsid w:val="006D1F75"/>
    <w:rsid w:val="00701327"/>
    <w:rsid w:val="00713CCA"/>
    <w:rsid w:val="0072000B"/>
    <w:rsid w:val="00732C16"/>
    <w:rsid w:val="00781051"/>
    <w:rsid w:val="007B2399"/>
    <w:rsid w:val="007B6752"/>
    <w:rsid w:val="007C2FDE"/>
    <w:rsid w:val="007C6FA1"/>
    <w:rsid w:val="007D3B6F"/>
    <w:rsid w:val="00801D83"/>
    <w:rsid w:val="00802E73"/>
    <w:rsid w:val="00804652"/>
    <w:rsid w:val="0082114B"/>
    <w:rsid w:val="00847BD4"/>
    <w:rsid w:val="00863066"/>
    <w:rsid w:val="008C0F03"/>
    <w:rsid w:val="008D64FF"/>
    <w:rsid w:val="008F0177"/>
    <w:rsid w:val="008F75D5"/>
    <w:rsid w:val="00905D57"/>
    <w:rsid w:val="00927D69"/>
    <w:rsid w:val="00937E3F"/>
    <w:rsid w:val="00976A35"/>
    <w:rsid w:val="00981FA5"/>
    <w:rsid w:val="00992A41"/>
    <w:rsid w:val="009B5E77"/>
    <w:rsid w:val="009F5EF4"/>
    <w:rsid w:val="00A41823"/>
    <w:rsid w:val="00A50590"/>
    <w:rsid w:val="00A527C3"/>
    <w:rsid w:val="00A63880"/>
    <w:rsid w:val="00A642CD"/>
    <w:rsid w:val="00A71393"/>
    <w:rsid w:val="00A7713F"/>
    <w:rsid w:val="00A815E3"/>
    <w:rsid w:val="00A97DC0"/>
    <w:rsid w:val="00AA3FEF"/>
    <w:rsid w:val="00AA70F5"/>
    <w:rsid w:val="00AB5699"/>
    <w:rsid w:val="00AB7B4A"/>
    <w:rsid w:val="00AC38F3"/>
    <w:rsid w:val="00AC3A86"/>
    <w:rsid w:val="00AD6276"/>
    <w:rsid w:val="00AE6EFB"/>
    <w:rsid w:val="00AF443D"/>
    <w:rsid w:val="00B002C5"/>
    <w:rsid w:val="00B00EAC"/>
    <w:rsid w:val="00B24610"/>
    <w:rsid w:val="00B30B37"/>
    <w:rsid w:val="00B312C8"/>
    <w:rsid w:val="00B60C12"/>
    <w:rsid w:val="00B7353D"/>
    <w:rsid w:val="00B73595"/>
    <w:rsid w:val="00B74E06"/>
    <w:rsid w:val="00B77DEA"/>
    <w:rsid w:val="00BA1B34"/>
    <w:rsid w:val="00BA4A22"/>
    <w:rsid w:val="00BA612B"/>
    <w:rsid w:val="00BB7AC4"/>
    <w:rsid w:val="00BC3DEE"/>
    <w:rsid w:val="00C0723D"/>
    <w:rsid w:val="00C245F2"/>
    <w:rsid w:val="00C42986"/>
    <w:rsid w:val="00C54852"/>
    <w:rsid w:val="00C94B54"/>
    <w:rsid w:val="00CA188F"/>
    <w:rsid w:val="00CC26B2"/>
    <w:rsid w:val="00CC3BD9"/>
    <w:rsid w:val="00CC6C5C"/>
    <w:rsid w:val="00CD54F4"/>
    <w:rsid w:val="00CE0FB9"/>
    <w:rsid w:val="00D1751B"/>
    <w:rsid w:val="00D43E8B"/>
    <w:rsid w:val="00D6246A"/>
    <w:rsid w:val="00D8179E"/>
    <w:rsid w:val="00D83AD8"/>
    <w:rsid w:val="00D85CEF"/>
    <w:rsid w:val="00D93C54"/>
    <w:rsid w:val="00D969AB"/>
    <w:rsid w:val="00DA0494"/>
    <w:rsid w:val="00DA6907"/>
    <w:rsid w:val="00DB388C"/>
    <w:rsid w:val="00DC54C3"/>
    <w:rsid w:val="00DC73D0"/>
    <w:rsid w:val="00DF0D62"/>
    <w:rsid w:val="00DF2DEB"/>
    <w:rsid w:val="00DF32DB"/>
    <w:rsid w:val="00E0153B"/>
    <w:rsid w:val="00E02AAC"/>
    <w:rsid w:val="00E0418E"/>
    <w:rsid w:val="00E34CDF"/>
    <w:rsid w:val="00E531EE"/>
    <w:rsid w:val="00E60404"/>
    <w:rsid w:val="00E8633D"/>
    <w:rsid w:val="00EC083E"/>
    <w:rsid w:val="00EC5E89"/>
    <w:rsid w:val="00ED0D08"/>
    <w:rsid w:val="00ED2CCC"/>
    <w:rsid w:val="00ED79A9"/>
    <w:rsid w:val="00F22421"/>
    <w:rsid w:val="00F645BE"/>
    <w:rsid w:val="00F85AEA"/>
    <w:rsid w:val="00F97615"/>
    <w:rsid w:val="00F977E6"/>
    <w:rsid w:val="00FB03C0"/>
    <w:rsid w:val="00FC6ED6"/>
    <w:rsid w:val="00FD7BA5"/>
    <w:rsid w:val="00FF506D"/>
    <w:rsid w:val="04B11019"/>
    <w:rsid w:val="05437CC1"/>
    <w:rsid w:val="09BF679B"/>
    <w:rsid w:val="0AB07EA4"/>
    <w:rsid w:val="0BFE4B3A"/>
    <w:rsid w:val="0F924DBD"/>
    <w:rsid w:val="12020A12"/>
    <w:rsid w:val="13D71CFB"/>
    <w:rsid w:val="2055491A"/>
    <w:rsid w:val="2A3B4498"/>
    <w:rsid w:val="2E072E79"/>
    <w:rsid w:val="2E182F2D"/>
    <w:rsid w:val="30AD7A4B"/>
    <w:rsid w:val="321235F2"/>
    <w:rsid w:val="324F18A3"/>
    <w:rsid w:val="342A740B"/>
    <w:rsid w:val="38EB7C15"/>
    <w:rsid w:val="3A62547F"/>
    <w:rsid w:val="3A7F5811"/>
    <w:rsid w:val="3BFF601A"/>
    <w:rsid w:val="45AB2704"/>
    <w:rsid w:val="46921899"/>
    <w:rsid w:val="47340F98"/>
    <w:rsid w:val="55465C58"/>
    <w:rsid w:val="59E051FD"/>
    <w:rsid w:val="5A6F3AD5"/>
    <w:rsid w:val="5CBD5A36"/>
    <w:rsid w:val="62C713AB"/>
    <w:rsid w:val="64E50E88"/>
    <w:rsid w:val="65EB36DB"/>
    <w:rsid w:val="79B356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8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9">
    <w:name w:val="纯文本 Char"/>
    <w:basedOn w:val="6"/>
    <w:link w:val="2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2</Pages>
  <Words>441</Words>
  <Characters>2514</Characters>
  <Lines>20</Lines>
  <Paragraphs>5</Paragraphs>
  <TotalTime>0</TotalTime>
  <ScaleCrop>false</ScaleCrop>
  <LinksUpToDate>false</LinksUpToDate>
  <CharactersWithSpaces>2950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2017-03-28T02:43:00Z</dcterms:created>
  <dc:creator>FreeUser</dc:creator>
  <cp:lastModifiedBy>TF-PC</cp:lastModifiedBy>
  <cp:lastPrinted>2017-11-27T07:27:00Z</cp:lastPrinted>
  <dcterms:modified xsi:type="dcterms:W3CDTF">2018-08-27T09:41:58Z</dcterms:modified>
  <dc:title>阅   卷  笔  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