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800" w:lineRule="exact"/>
        <w:jc w:val="center"/>
        <w:rPr>
          <w:rFonts w:eastAsia="宋体"/>
          <w:color w:val="auto"/>
          <w:spacing w:val="8"/>
          <w:sz w:val="44"/>
        </w:rPr>
      </w:pPr>
      <w:bookmarkStart w:id="3" w:name="_GoBack"/>
      <w:bookmarkEnd w:id="3"/>
      <w:r>
        <w:rPr>
          <w:rFonts w:hint="eastAsia" w:eastAsia="宋体"/>
          <w:color w:val="auto"/>
          <w:spacing w:val="8"/>
          <w:sz w:val="44"/>
        </w:rPr>
        <w:t xml:space="preserve"> 天津市东丽区人民法院</w:t>
      </w:r>
    </w:p>
    <w:p>
      <w:pPr>
        <w:spacing w:line="800" w:lineRule="exact"/>
        <w:jc w:val="center"/>
        <w:rPr>
          <w:rFonts w:hint="eastAsia" w:eastAsia="宋体"/>
          <w:color w:val="auto"/>
          <w:spacing w:val="50"/>
          <w:sz w:val="52"/>
        </w:rPr>
      </w:pPr>
      <w:r>
        <w:rPr>
          <w:rFonts w:hint="eastAsia" w:ascii="宋体" w:hAnsi="宋体" w:eastAsia="宋体"/>
          <w:color w:val="auto"/>
          <w:spacing w:val="8"/>
          <w:sz w:val="52"/>
        </w:rPr>
        <w:t xml:space="preserve"> </w:t>
      </w:r>
      <w:r>
        <w:rPr>
          <w:rFonts w:hint="eastAsia" w:eastAsia="宋体"/>
          <w:color w:val="auto"/>
          <w:spacing w:val="50"/>
          <w:sz w:val="52"/>
        </w:rPr>
        <w:t>刑 事 判 决 书</w:t>
      </w:r>
      <w:r>
        <w:rPr>
          <w:rFonts w:hint="eastAsia" w:ascii="宋体" w:hAnsi="宋体" w:eastAsia="宋体"/>
          <w:color w:val="auto"/>
          <w:spacing w:val="8"/>
          <w:sz w:val="52"/>
        </w:rPr>
        <w:t xml:space="preserve">     </w:t>
      </w:r>
    </w:p>
    <w:p>
      <w:pPr>
        <w:spacing w:line="320" w:lineRule="exact"/>
        <w:jc w:val="right"/>
        <w:rPr>
          <w:rFonts w:hint="eastAsia"/>
          <w:color w:val="auto"/>
          <w:spacing w:val="-20"/>
        </w:rPr>
      </w:pPr>
      <w:r>
        <w:rPr>
          <w:rFonts w:hint="eastAsia"/>
          <w:color w:val="auto"/>
          <w:spacing w:val="-20"/>
        </w:rPr>
        <w:t xml:space="preserve">                          </w:t>
      </w:r>
    </w:p>
    <w:p>
      <w:pPr>
        <w:spacing w:line="520" w:lineRule="exact"/>
        <w:ind w:right="77" w:firstLine="628" w:firstLineChars="200"/>
        <w:jc w:val="right"/>
        <w:rPr>
          <w:rFonts w:hint="eastAsia"/>
          <w:color w:val="auto"/>
        </w:rPr>
      </w:pPr>
      <w:r>
        <w:rPr>
          <w:rFonts w:hint="eastAsia"/>
          <w:color w:val="auto"/>
        </w:rPr>
        <w:t xml:space="preserve"> </w:t>
      </w:r>
      <w:r>
        <w:rPr>
          <w:color w:val="auto"/>
        </w:rPr>
        <w:fldChar w:fldCharType="begin"/>
      </w:r>
      <w:r>
        <w:rPr>
          <w:color w:val="auto"/>
        </w:rPr>
        <w:instrText xml:space="preserve"> HYPERLINK "http://130.13.0.13/ajxq.do?ajxh=114305&amp;i=-1" \t "_blank" </w:instrText>
      </w:r>
      <w:r>
        <w:rPr>
          <w:color w:val="auto"/>
        </w:rPr>
        <w:fldChar w:fldCharType="separate"/>
      </w:r>
      <w:r>
        <w:rPr>
          <w:color w:val="auto"/>
        </w:rPr>
        <w:t>(2016)津0110刑初37</w:t>
      </w:r>
      <w:r>
        <w:rPr>
          <w:rFonts w:hint="eastAsia"/>
          <w:color w:val="auto"/>
        </w:rPr>
        <w:t>4</w:t>
      </w:r>
      <w:r>
        <w:rPr>
          <w:color w:val="auto"/>
        </w:rPr>
        <w:t>号</w:t>
      </w:r>
      <w:r>
        <w:rPr>
          <w:color w:val="auto"/>
        </w:rPr>
        <w:fldChar w:fldCharType="end"/>
      </w:r>
    </w:p>
    <w:p>
      <w:pPr>
        <w:spacing w:line="520" w:lineRule="exact"/>
        <w:ind w:right="77" w:firstLine="628" w:firstLineChars="200"/>
        <w:jc w:val="right"/>
        <w:rPr>
          <w:rFonts w:hint="eastAsia"/>
          <w:color w:val="auto"/>
        </w:rPr>
      </w:pPr>
    </w:p>
    <w:p>
      <w:pPr>
        <w:spacing w:line="520" w:lineRule="exact"/>
        <w:ind w:firstLine="628" w:firstLineChars="200"/>
        <w:rPr>
          <w:rFonts w:hint="eastAsia"/>
          <w:color w:val="auto"/>
        </w:rPr>
      </w:pPr>
      <w:r>
        <w:rPr>
          <w:rFonts w:hint="eastAsia"/>
          <w:color w:val="auto"/>
        </w:rPr>
        <w:t>公诉机关天津市东丽区人民检察院。</w:t>
      </w:r>
    </w:p>
    <w:p>
      <w:pPr>
        <w:spacing w:line="520" w:lineRule="exact"/>
        <w:ind w:firstLine="628" w:firstLineChars="200"/>
        <w:rPr>
          <w:rFonts w:hint="eastAsia"/>
          <w:color w:val="auto"/>
        </w:rPr>
      </w:pPr>
      <w:r>
        <w:rPr>
          <w:rFonts w:hint="eastAsia"/>
          <w:color w:val="auto"/>
        </w:rPr>
        <w:t>被告人高铁军（身份证号码412931197404186213），     男，1974年4月18日出生，汉族，小学文化，农民，户籍地河南省南阳市新野县五星镇陈庄村高楼14组，现住天津市东丽区无瑕街一号江浩物流宿舍内。因本案于2015年12月21日被刑事拘留，同年12月24日被取保候审。</w:t>
      </w:r>
    </w:p>
    <w:p>
      <w:pPr>
        <w:spacing w:line="520" w:lineRule="exact"/>
        <w:ind w:firstLine="628" w:firstLineChars="200"/>
        <w:rPr>
          <w:rFonts w:hint="eastAsia"/>
          <w:color w:val="auto"/>
        </w:rPr>
      </w:pPr>
      <w:r>
        <w:rPr>
          <w:rFonts w:hint="eastAsia"/>
          <w:color w:val="auto"/>
        </w:rPr>
        <w:t>天津市东丽区人民检察院以津丽检公诉刑诉（2016）301号起诉书指控被告人高铁军犯信用卡诈骗罪，于2016年4月18日向本院提起公诉。本院受理后，依法适用简易程序，公开开庭进行了审理。天津市东丽区人民检察院指派检察员赵志辉出庭支持公诉，被告人高铁军到庭参加了诉讼。本案现已审理终结。</w:t>
      </w:r>
    </w:p>
    <w:p>
      <w:pPr>
        <w:spacing w:line="520" w:lineRule="exact"/>
        <w:ind w:firstLine="628" w:firstLineChars="200"/>
        <w:rPr>
          <w:rFonts w:hint="eastAsia"/>
          <w:color w:val="auto"/>
        </w:rPr>
      </w:pPr>
      <w:r>
        <w:rPr>
          <w:rFonts w:hint="eastAsia"/>
          <w:color w:val="auto"/>
        </w:rPr>
        <w:t xml:space="preserve">公诉机关指控，2015年12月17日，被告人高铁军在道路上拾得建设银行储蓄卡一张，而后被告人在本市东丽区无瑕街3号路建设银行ATM机上使用该卡取得现金7800元，据为己有。 被告人高铁军之行为已构成信用卡诈骗罪，提请本院依法判处。 </w:t>
      </w:r>
    </w:p>
    <w:p>
      <w:pPr>
        <w:spacing w:line="520" w:lineRule="exact"/>
        <w:ind w:firstLine="628" w:firstLineChars="200"/>
        <w:rPr>
          <w:rFonts w:hint="eastAsia"/>
          <w:color w:val="auto"/>
        </w:rPr>
      </w:pPr>
      <w:r>
        <w:rPr>
          <w:rFonts w:hint="eastAsia"/>
          <w:color w:val="auto"/>
        </w:rPr>
        <w:t>被告人高铁军对于公诉机关指控的罪名以及犯罪事实无异议。</w:t>
      </w:r>
    </w:p>
    <w:p>
      <w:pPr>
        <w:spacing w:line="520" w:lineRule="exact"/>
        <w:ind w:firstLine="588" w:firstLineChars="200"/>
        <w:rPr>
          <w:rFonts w:hint="eastAsia"/>
          <w:sz w:val="30"/>
          <w:szCs w:val="30"/>
        </w:rPr>
      </w:pPr>
      <w:r>
        <w:rPr>
          <w:rFonts w:hint="eastAsia"/>
          <w:sz w:val="30"/>
          <w:szCs w:val="30"/>
        </w:rPr>
        <w:t>经审理查明，2015年12月17日上午10时许，被告人高铁军在天津市钢铁有限公司厂内道路上拾得被害人彭荣芹建设银行储蓄卡一张及该卡纸质原始密码等物品，后被告人高铁军在本市东丽区无瑕街3号路建设银行ATM机上使用该卡分四次取得现金人民币7800元，据为己有。</w:t>
      </w:r>
    </w:p>
    <w:p>
      <w:pPr>
        <w:spacing w:line="520" w:lineRule="exact"/>
        <w:ind w:firstLine="588" w:firstLineChars="200"/>
        <w:rPr>
          <w:rFonts w:hint="eastAsia"/>
          <w:sz w:val="30"/>
          <w:szCs w:val="30"/>
        </w:rPr>
      </w:pPr>
      <w:r>
        <w:rPr>
          <w:rFonts w:hint="eastAsia"/>
          <w:sz w:val="30"/>
          <w:szCs w:val="30"/>
        </w:rPr>
        <w:t>2015年12月21日，被告人高铁军被查获归案，当日即退还了被害人全部经济损失。</w:t>
      </w:r>
    </w:p>
    <w:p>
      <w:pPr>
        <w:spacing w:line="520" w:lineRule="exact"/>
        <w:ind w:firstLine="628" w:firstLineChars="200"/>
        <w:rPr>
          <w:rFonts w:hint="eastAsia"/>
          <w:color w:val="auto"/>
        </w:rPr>
      </w:pPr>
      <w:r>
        <w:rPr>
          <w:rFonts w:hint="eastAsia"/>
          <w:color w:val="auto"/>
        </w:rPr>
        <w:t>认定以上事实的证据有，被告人高铁军当庭对于犯罪事实的如实供认，与被害人彭荣芹的陈述和公安机关调取的银行卡交易记录等证据能够相互印证，另有相关的物证照片、检查笔录、发还清单和案件来源等书证材料在案予以佐证。</w:t>
      </w:r>
      <w:r>
        <w:rPr>
          <w:rFonts w:hint="eastAsia"/>
        </w:rPr>
        <w:t>以上证据均经当庭举证、质证，具有证明效力，本院予以采信，作为定案的依据。</w:t>
      </w:r>
    </w:p>
    <w:p>
      <w:pPr>
        <w:spacing w:line="520" w:lineRule="exact"/>
        <w:ind w:firstLine="785" w:firstLineChars="250"/>
        <w:rPr>
          <w:rFonts w:hint="eastAsia"/>
          <w:color w:val="auto"/>
        </w:rPr>
      </w:pPr>
      <w:r>
        <w:rPr>
          <w:rFonts w:hint="eastAsia"/>
          <w:color w:val="auto"/>
        </w:rPr>
        <w:t>本院认为，被告人高铁军拾得他人信用卡并使用，系冒用他人信用卡的行为，且数额较大，核其行为已构成信用卡诈骗罪，</w:t>
      </w:r>
      <w:r>
        <w:rPr>
          <w:color w:val="auto"/>
        </w:rPr>
        <w:t>依法应予</w:t>
      </w:r>
      <w:r>
        <w:rPr>
          <w:rFonts w:hint="eastAsia"/>
          <w:color w:val="auto"/>
        </w:rPr>
        <w:t>处罚</w:t>
      </w:r>
      <w:r>
        <w:rPr>
          <w:color w:val="auto"/>
        </w:rPr>
        <w:t>。公诉机关</w:t>
      </w:r>
      <w:r>
        <w:rPr>
          <w:rFonts w:hint="eastAsia"/>
          <w:color w:val="auto"/>
        </w:rPr>
        <w:t>的</w:t>
      </w:r>
      <w:r>
        <w:rPr>
          <w:color w:val="auto"/>
        </w:rPr>
        <w:t>指控</w:t>
      </w:r>
      <w:r>
        <w:rPr>
          <w:rFonts w:hint="eastAsia"/>
          <w:color w:val="auto"/>
        </w:rPr>
        <w:t>意见正确，本院予以采纳</w:t>
      </w:r>
      <w:r>
        <w:rPr>
          <w:color w:val="auto"/>
        </w:rPr>
        <w:t>。</w:t>
      </w:r>
      <w:r>
        <w:rPr>
          <w:rFonts w:hint="eastAsia"/>
          <w:color w:val="auto"/>
        </w:rPr>
        <w:t>鉴于</w:t>
      </w:r>
      <w:r>
        <w:rPr>
          <w:color w:val="auto"/>
        </w:rPr>
        <w:t>被告人</w:t>
      </w:r>
      <w:r>
        <w:rPr>
          <w:rFonts w:hint="eastAsia"/>
          <w:color w:val="auto"/>
        </w:rPr>
        <w:t>归案以后能够如实交代犯罪事实，认罪态度较好</w:t>
      </w:r>
      <w:r>
        <w:rPr>
          <w:color w:val="auto"/>
        </w:rPr>
        <w:t>，</w:t>
      </w:r>
      <w:r>
        <w:rPr>
          <w:rFonts w:hint="eastAsia"/>
          <w:color w:val="auto"/>
        </w:rPr>
        <w:t>且已归还全部涉案赃款，依法可从轻处罚。综上，</w:t>
      </w:r>
      <w:r>
        <w:rPr>
          <w:color w:val="auto"/>
        </w:rPr>
        <w:t>依照《中华人民共和国刑法》第一百九十六条第一款第(</w:t>
      </w:r>
      <w:r>
        <w:rPr>
          <w:rFonts w:hint="eastAsia"/>
          <w:color w:val="auto"/>
        </w:rPr>
        <w:t>三</w:t>
      </w:r>
      <w:r>
        <w:rPr>
          <w:color w:val="auto"/>
        </w:rPr>
        <w:t>)项、</w:t>
      </w:r>
      <w:r>
        <w:rPr>
          <w:rFonts w:hint="eastAsia"/>
        </w:rPr>
        <w:t>第六十七条第三款、第七十二条、第七十三条、第七十六条以及</w:t>
      </w:r>
      <w:r>
        <w:rPr>
          <w:color w:val="auto"/>
        </w:rPr>
        <w:t>《最高人民法院</w:t>
      </w:r>
      <w:r>
        <w:rPr>
          <w:rFonts w:hint="eastAsia"/>
          <w:color w:val="auto"/>
        </w:rPr>
        <w:t>、最高人民检察院</w:t>
      </w:r>
      <w:r>
        <w:rPr>
          <w:color w:val="auto"/>
        </w:rPr>
        <w:t>关于办理妨害信用卡管理刑事案件具体应用法律若干问题的解释》第</w:t>
      </w:r>
      <w:r>
        <w:rPr>
          <w:rFonts w:hint="eastAsia"/>
          <w:color w:val="auto"/>
        </w:rPr>
        <w:t>五</w:t>
      </w:r>
      <w:r>
        <w:rPr>
          <w:color w:val="auto"/>
        </w:rPr>
        <w:t>条</w:t>
      </w:r>
      <w:r>
        <w:rPr>
          <w:rFonts w:hint="eastAsia"/>
          <w:color w:val="auto"/>
        </w:rPr>
        <w:t>之规定，判决如下：</w:t>
      </w:r>
    </w:p>
    <w:p>
      <w:pPr>
        <w:spacing w:line="520" w:lineRule="exact"/>
        <w:ind w:firstLine="628" w:firstLineChars="200"/>
        <w:rPr>
          <w:rFonts w:hint="eastAsia"/>
          <w:color w:val="auto"/>
        </w:rPr>
      </w:pPr>
      <w:r>
        <w:rPr>
          <w:rFonts w:hint="eastAsia"/>
        </w:rPr>
        <w:t>被告人高铁军犯信用卡诈骗罪，判处拘役三个月，缓刑六个月，并处罚金人民币20000元。被告人高铁军在缓刑考验期限内，依法实行社区矫正。</w:t>
      </w:r>
    </w:p>
    <w:p>
      <w:pPr>
        <w:spacing w:line="520" w:lineRule="exact"/>
        <w:ind w:firstLine="628" w:firstLineChars="200"/>
        <w:rPr>
          <w:rFonts w:hint="eastAsia"/>
          <w:color w:val="auto"/>
        </w:rPr>
      </w:pPr>
      <w:r>
        <w:rPr>
          <w:rFonts w:hint="eastAsia"/>
        </w:rPr>
        <w:t>缓刑考验期间从判决确定之日起计算</w:t>
      </w:r>
    </w:p>
    <w:p>
      <w:pPr>
        <w:overflowPunct w:val="0"/>
        <w:spacing w:line="520" w:lineRule="exact"/>
        <w:ind w:firstLine="628" w:firstLineChars="200"/>
        <w:rPr>
          <w:rFonts w:hint="eastAsia"/>
          <w:color w:val="auto"/>
        </w:rPr>
      </w:pPr>
      <w:r>
        <w:rPr>
          <w:rFonts w:hint="eastAsia"/>
          <w:color w:val="auto"/>
        </w:rPr>
        <w:t>上述罚金于判决书生效后十日内交本院。</w:t>
      </w:r>
    </w:p>
    <w:p>
      <w:pPr>
        <w:overflowPunct w:val="0"/>
        <w:spacing w:line="520" w:lineRule="exact"/>
        <w:ind w:firstLine="628" w:firstLineChars="200"/>
        <w:rPr>
          <w:rFonts w:hint="eastAsia"/>
          <w:color w:val="auto"/>
        </w:rPr>
      </w:pPr>
      <w:r>
        <w:rPr>
          <w:rFonts w:hint="eastAsia"/>
          <w:color w:val="auto"/>
        </w:rPr>
        <w:t>如不服本判决，可于接到判决书的第二日起十日内，通过本院或直接向天津市第二中级人民法院提出上诉，书面上诉的，应交上诉状正本一份，副本二份。</w:t>
      </w:r>
    </w:p>
    <w:p>
      <w:pPr>
        <w:overflowPunct w:val="0"/>
        <w:spacing w:line="520" w:lineRule="exact"/>
        <w:ind w:firstLine="628" w:firstLineChars="200"/>
        <w:rPr>
          <w:rFonts w:hint="eastAsia"/>
          <w:color w:val="auto"/>
        </w:rPr>
      </w:pPr>
      <w:r>
        <w:rPr>
          <w:rFonts w:hint="eastAsia"/>
          <w:color w:val="auto"/>
        </w:rPr>
        <w:t xml:space="preserve"> </w:t>
      </w:r>
    </w:p>
    <w:p>
      <w:pPr>
        <w:overflowPunct w:val="0"/>
        <w:spacing w:line="520" w:lineRule="exact"/>
        <w:ind w:firstLine="628" w:firstLineChars="200"/>
        <w:rPr>
          <w:rFonts w:hint="eastAsia"/>
          <w:color w:val="auto"/>
        </w:rPr>
      </w:pPr>
      <w:r>
        <w:rPr>
          <w:rFonts w:hint="eastAsia"/>
          <w:color w:val="auto"/>
        </w:rPr>
        <w:t xml:space="preserve">  </w:t>
      </w:r>
    </w:p>
    <w:p>
      <w:pPr>
        <w:spacing w:line="520" w:lineRule="exact"/>
        <w:ind w:left="425"/>
        <w:jc w:val="right"/>
        <w:rPr>
          <w:rFonts w:hint="eastAsia"/>
          <w:color w:val="auto"/>
        </w:rPr>
      </w:pPr>
      <w:r>
        <w:rPr>
          <w:rFonts w:hint="eastAsia"/>
          <w:color w:val="auto"/>
        </w:rPr>
        <w:t xml:space="preserve">                      </w:t>
      </w:r>
    </w:p>
    <w:p>
      <w:pPr>
        <w:spacing w:line="520" w:lineRule="exact"/>
        <w:ind w:left="425"/>
        <w:jc w:val="right"/>
        <w:rPr>
          <w:rFonts w:hint="eastAsia"/>
          <w:color w:val="auto"/>
        </w:rPr>
      </w:pPr>
    </w:p>
    <w:p>
      <w:pPr>
        <w:spacing w:line="520" w:lineRule="exact"/>
        <w:ind w:firstLine="5240" w:firstLineChars="1669"/>
        <w:jc w:val="right"/>
        <w:rPr>
          <w:rFonts w:hint="eastAsia"/>
          <w:color w:val="auto"/>
        </w:rPr>
      </w:pPr>
      <w:r>
        <w:rPr>
          <w:rFonts w:hint="eastAsia"/>
          <w:color w:val="auto"/>
        </w:rPr>
        <w:t>审  判  长  蒋亚辉</w:t>
      </w:r>
    </w:p>
    <w:p>
      <w:pPr>
        <w:wordWrap w:val="0"/>
        <w:spacing w:line="520" w:lineRule="exact"/>
        <w:ind w:left="4160" w:firstLine="645"/>
        <w:jc w:val="right"/>
        <w:rPr>
          <w:rFonts w:hint="eastAsia"/>
          <w:color w:val="auto"/>
        </w:rPr>
      </w:pPr>
      <w:r>
        <w:rPr>
          <w:rFonts w:hint="eastAsia"/>
          <w:color w:val="auto"/>
        </w:rPr>
        <w:t>审  判  员  鲁福浩</w:t>
      </w:r>
    </w:p>
    <w:p>
      <w:pPr>
        <w:wordWrap w:val="0"/>
        <w:spacing w:line="520" w:lineRule="exact"/>
        <w:ind w:left="4160" w:firstLine="645"/>
        <w:jc w:val="right"/>
        <w:rPr>
          <w:rFonts w:hint="eastAsia"/>
          <w:color w:val="auto"/>
        </w:rPr>
      </w:pPr>
      <w:r>
        <w:rPr>
          <w:rFonts w:hint="eastAsia"/>
          <w:color w:val="auto"/>
        </w:rPr>
        <w:t>人民陪审员  田家岭</w:t>
      </w:r>
    </w:p>
    <w:p>
      <w:pPr>
        <w:spacing w:line="520" w:lineRule="exact"/>
        <w:ind w:left="4160" w:firstLine="672"/>
        <w:jc w:val="right"/>
        <w:rPr>
          <w:rFonts w:hint="eastAsia"/>
          <w:color w:val="auto"/>
        </w:rPr>
      </w:pPr>
      <w:r>
        <w:rPr>
          <w:rFonts w:hint="eastAsia"/>
          <w:color w:val="auto"/>
        </w:rPr>
        <w:t xml:space="preserve">    </w:t>
      </w:r>
    </w:p>
    <w:p>
      <w:pPr>
        <w:spacing w:line="520" w:lineRule="exact"/>
        <w:ind w:left="4160" w:firstLine="645"/>
        <w:jc w:val="right"/>
        <w:rPr>
          <w:rFonts w:hint="eastAsia"/>
          <w:color w:val="auto"/>
        </w:rPr>
      </w:pPr>
      <w:r>
        <w:rPr>
          <w:rFonts w:hint="eastAsia"/>
          <w:color w:val="auto"/>
        </w:rPr>
        <w:t>二O一六年四月二十七日</w:t>
      </w:r>
    </w:p>
    <w:p>
      <w:pPr>
        <w:spacing w:line="520" w:lineRule="exact"/>
        <w:ind w:right="628"/>
        <w:jc w:val="right"/>
        <w:rPr>
          <w:rFonts w:hint="eastAsia"/>
          <w:color w:val="auto"/>
        </w:rPr>
      </w:pPr>
    </w:p>
    <w:p>
      <w:pPr>
        <w:wordWrap w:val="0"/>
        <w:spacing w:line="520" w:lineRule="exact"/>
        <w:ind w:left="4160" w:firstLine="645"/>
        <w:jc w:val="right"/>
        <w:rPr>
          <w:rFonts w:hint="eastAsia"/>
          <w:color w:val="auto"/>
        </w:rPr>
      </w:pPr>
      <w:r>
        <w:rPr>
          <w:rFonts w:hint="eastAsia"/>
          <w:color w:val="auto"/>
        </w:rPr>
        <w:t xml:space="preserve"> 书  记  员  张  祎</w:t>
      </w:r>
    </w:p>
    <w:p>
      <w:pPr>
        <w:wordWrap w:val="0"/>
        <w:jc w:val="right"/>
        <w:rPr>
          <w:rFonts w:hint="eastAsia"/>
          <w:color w:val="auto"/>
        </w:rPr>
      </w:pPr>
      <w:r>
        <w:rPr>
          <w:rFonts w:hint="eastAsia"/>
          <w:color w:val="auto"/>
        </w:rPr>
        <w:t>速  录  员  吴  伟</w:t>
      </w:r>
    </w:p>
    <w:p>
      <w:pPr>
        <w:spacing w:line="520" w:lineRule="exact"/>
        <w:ind w:firstLine="2301" w:firstLineChars="650"/>
        <w:rPr>
          <w:rFonts w:hint="eastAsia" w:ascii="_x000B__x000C_" w:hAnsi="_x000B__x000C_" w:eastAsia="黑体"/>
          <w:b/>
          <w:bCs/>
          <w:color w:val="auto"/>
          <w:sz w:val="36"/>
          <w:szCs w:val="18"/>
        </w:rPr>
      </w:pPr>
    </w:p>
    <w:p>
      <w:pPr>
        <w:spacing w:line="520" w:lineRule="exact"/>
        <w:ind w:firstLine="2301" w:firstLineChars="650"/>
        <w:rPr>
          <w:rFonts w:hint="eastAsia" w:ascii="_x000B__x000C_" w:hAnsi="_x000B__x000C_" w:eastAsia="黑体"/>
          <w:b/>
          <w:bCs/>
          <w:color w:val="auto"/>
          <w:sz w:val="36"/>
          <w:szCs w:val="18"/>
        </w:rPr>
      </w:pPr>
    </w:p>
    <w:p>
      <w:pPr>
        <w:spacing w:line="520" w:lineRule="exact"/>
        <w:ind w:firstLine="2301" w:firstLineChars="650"/>
        <w:rPr>
          <w:rFonts w:hint="eastAsia" w:ascii="_x000B__x000C_" w:hAnsi="_x000B__x000C_" w:eastAsia="黑体"/>
          <w:b/>
          <w:bCs/>
          <w:color w:val="auto"/>
          <w:sz w:val="36"/>
          <w:szCs w:val="18"/>
        </w:rPr>
      </w:pPr>
    </w:p>
    <w:p>
      <w:pPr>
        <w:spacing w:line="520" w:lineRule="exact"/>
        <w:ind w:firstLine="2124" w:firstLineChars="600"/>
        <w:rPr>
          <w:rFonts w:hint="eastAsia"/>
          <w:color w:val="auto"/>
        </w:rPr>
      </w:pPr>
      <w:r>
        <w:rPr>
          <w:rFonts w:hint="eastAsia" w:ascii="_x000B__x000C_" w:hAnsi="_x000B__x000C_" w:eastAsia="黑体"/>
          <w:b/>
          <w:bCs/>
          <w:color w:val="auto"/>
          <w:sz w:val="36"/>
          <w:szCs w:val="18"/>
        </w:rPr>
        <w:t>本判决所依据相关法律、法规</w:t>
      </w:r>
    </w:p>
    <w:p>
      <w:pPr>
        <w:spacing w:line="520" w:lineRule="exact"/>
        <w:ind w:firstLine="622" w:firstLineChars="198"/>
        <w:rPr>
          <w:rFonts w:hint="eastAsia"/>
          <w:color w:val="auto"/>
          <w:szCs w:val="32"/>
        </w:rPr>
      </w:pPr>
      <w:r>
        <w:rPr>
          <w:rFonts w:hint="eastAsia"/>
          <w:color w:val="auto"/>
        </w:rPr>
        <w:t xml:space="preserve"> </w:t>
      </w:r>
    </w:p>
    <w:p>
      <w:pPr>
        <w:overflowPunct w:val="0"/>
        <w:spacing w:line="520" w:lineRule="exact"/>
        <w:ind w:firstLine="628" w:firstLineChars="200"/>
        <w:rPr>
          <w:rFonts w:hint="eastAsia"/>
          <w:color w:val="auto"/>
        </w:rPr>
      </w:pPr>
      <w:r>
        <w:rPr>
          <w:rFonts w:hint="eastAsia"/>
          <w:color w:val="auto"/>
        </w:rPr>
        <w:t>一、《中华人民共和国刑法》</w:t>
      </w:r>
      <w:bookmarkStart w:id="0" w:name="down"/>
      <w:bookmarkEnd w:id="0"/>
      <w:bookmarkStart w:id="1" w:name="196"/>
      <w:r>
        <w:rPr>
          <w:color w:val="auto"/>
        </w:rPr>
        <w:t>第一百九十六条</w:t>
      </w:r>
      <w:bookmarkEnd w:id="1"/>
      <w:r>
        <w:rPr>
          <w:rFonts w:hint="eastAsia"/>
          <w:color w:val="auto"/>
        </w:rPr>
        <w:t>：</w:t>
      </w:r>
      <w:r>
        <w:rPr>
          <w:color w:val="auto"/>
        </w:rPr>
        <w:t>有下列情形之一，进行信用卡诈骗活动，数额较大的，处五年以下有期徒刑或者拘役，并处二万元以上二十万元以下罚金；数额巨大或者有其他严重情节的，处五年以上十年以下有期徒刑，并处五万元以上五十万元以下罚金；数额特别巨大或者有其他特别严重情节的，处十年以上有期徒刑或者无期徒刑，并处五万元以上五十万元以下罚金或者没收财产：</w:t>
      </w:r>
      <w:r>
        <w:rPr>
          <w:color w:val="auto"/>
        </w:rPr>
        <w:br w:type="textWrapping"/>
      </w:r>
      <w:r>
        <w:rPr>
          <w:color w:val="auto"/>
        </w:rPr>
        <w:t>　　（一）使用伪造的信用卡的；</w:t>
      </w:r>
      <w:r>
        <w:rPr>
          <w:color w:val="auto"/>
        </w:rPr>
        <w:br w:type="textWrapping"/>
      </w:r>
      <w:r>
        <w:rPr>
          <w:color w:val="auto"/>
        </w:rPr>
        <w:t>　　（二）使用作废的信用卡的；</w:t>
      </w:r>
      <w:r>
        <w:rPr>
          <w:color w:val="auto"/>
        </w:rPr>
        <w:br w:type="textWrapping"/>
      </w:r>
      <w:r>
        <w:rPr>
          <w:color w:val="auto"/>
        </w:rPr>
        <w:t>　　（三）冒用他人信用卡的；</w:t>
      </w:r>
      <w:r>
        <w:rPr>
          <w:color w:val="auto"/>
        </w:rPr>
        <w:br w:type="textWrapping"/>
      </w:r>
      <w:r>
        <w:rPr>
          <w:color w:val="auto"/>
        </w:rPr>
        <w:t>　　（四）恶意透支的。</w:t>
      </w:r>
      <w:r>
        <w:rPr>
          <w:color w:val="auto"/>
        </w:rPr>
        <w:br w:type="textWrapping"/>
      </w:r>
      <w:r>
        <w:rPr>
          <w:color w:val="auto"/>
        </w:rPr>
        <w:t>　　前款所称恶意透支，是指持卡人以非法占有为目的，超过规定限额或者规定期限透支，并且经发卡银行催收后仍不归还的行为。</w:t>
      </w:r>
    </w:p>
    <w:p>
      <w:pPr>
        <w:overflowPunct w:val="0"/>
        <w:spacing w:line="520" w:lineRule="exact"/>
        <w:ind w:firstLine="628" w:firstLineChars="200"/>
        <w:rPr>
          <w:rFonts w:hint="eastAsia"/>
          <w:color w:val="auto"/>
        </w:rPr>
      </w:pPr>
      <w:r>
        <w:rPr>
          <w:color w:val="auto"/>
        </w:rPr>
        <w:t>盗窃信用卡并使用的，依照本法第二百六十四条的规定定罪处罚。</w:t>
      </w:r>
      <w:bookmarkStart w:id="2" w:name="64"/>
    </w:p>
    <w:p>
      <w:pPr>
        <w:overflowPunct w:val="0"/>
        <w:spacing w:line="520" w:lineRule="exact"/>
        <w:ind w:firstLine="628" w:firstLineChars="200"/>
        <w:rPr>
          <w:rFonts w:hint="eastAsia"/>
          <w:color w:val="auto"/>
        </w:rPr>
      </w:pPr>
      <w:r>
        <w:rPr>
          <w:rFonts w:hint="eastAsia"/>
          <w:color w:val="auto"/>
        </w:rPr>
        <w:t>二、《中华人民共和国刑法》</w:t>
      </w:r>
      <w:r>
        <w:rPr>
          <w:color w:val="auto"/>
        </w:rPr>
        <w:t>第六十七条</w:t>
      </w:r>
      <w:r>
        <w:rPr>
          <w:rFonts w:hint="eastAsia"/>
          <w:color w:val="auto"/>
        </w:rPr>
        <w:t>：</w:t>
      </w:r>
      <w:r>
        <w:rPr>
          <w:color w:val="auto"/>
        </w:rPr>
        <w:t>犯罪以后自动投案，如实供述自己的罪行的，是自首。对于自首的犯罪分子，可以从轻或者减轻处罚。其中，犯罪较轻的，可以免除处罚。</w:t>
      </w:r>
      <w:r>
        <w:rPr>
          <w:color w:val="auto"/>
        </w:rPr>
        <w:br w:type="textWrapping"/>
      </w:r>
      <w:r>
        <w:rPr>
          <w:color w:val="auto"/>
        </w:rPr>
        <w:t>　　被采取强制措施的犯罪嫌疑人、被告人和正在服刑的罪犯，如实供述司法机关还未掌握的本人其他罪行的，以自首论。</w:t>
      </w:r>
    </w:p>
    <w:p>
      <w:pPr>
        <w:overflowPunct w:val="0"/>
        <w:spacing w:line="520" w:lineRule="exact"/>
        <w:ind w:firstLine="628" w:firstLineChars="200"/>
        <w:rPr>
          <w:rFonts w:hint="eastAsia"/>
          <w:color w:val="auto"/>
        </w:rPr>
      </w:pPr>
      <w:r>
        <w:rPr>
          <w:rFonts w:hint="eastAsia"/>
          <w:color w:val="auto"/>
        </w:rPr>
        <w:t>犯罪嫌疑人虽不具有前两款规定的自首情节，但是如实供述自己罪行的，可以从轻处罚；因其如实供述自己罪行，避免特别严重后果发生的，可以减轻处罚。</w:t>
      </w:r>
    </w:p>
    <w:bookmarkEnd w:id="2"/>
    <w:p>
      <w:pPr>
        <w:spacing w:line="520" w:lineRule="exact"/>
        <w:ind w:firstLine="622" w:firstLineChars="198"/>
        <w:rPr>
          <w:rFonts w:hint="eastAsia"/>
          <w:szCs w:val="32"/>
        </w:rPr>
      </w:pPr>
      <w:r>
        <w:rPr>
          <w:rFonts w:hint="eastAsia"/>
          <w:szCs w:val="32"/>
        </w:rPr>
        <w:t>三、《中华人民共和国刑法》第七十二条：</w:t>
      </w:r>
      <w:r>
        <w:rPr>
          <w:szCs w:val="32"/>
        </w:rPr>
        <w:t>对于被判处拘役、三年以下有期徒刑的犯罪分子，同时符合下列条件的，可以宣告缓刑，对其中不满十八周岁的人、怀孕的妇女和已满七十五周岁的人，应当宣告缓刑：　　</w:t>
      </w:r>
    </w:p>
    <w:p>
      <w:pPr>
        <w:spacing w:line="520" w:lineRule="exact"/>
        <w:ind w:firstLine="622" w:firstLineChars="198"/>
        <w:rPr>
          <w:rFonts w:hint="eastAsia"/>
          <w:szCs w:val="32"/>
        </w:rPr>
      </w:pPr>
      <w:r>
        <w:rPr>
          <w:szCs w:val="32"/>
        </w:rPr>
        <w:t>（一）犯罪情节较轻；　　</w:t>
      </w:r>
    </w:p>
    <w:p>
      <w:pPr>
        <w:spacing w:line="520" w:lineRule="exact"/>
        <w:ind w:firstLine="622" w:firstLineChars="198"/>
        <w:rPr>
          <w:rFonts w:hint="eastAsia"/>
          <w:szCs w:val="32"/>
        </w:rPr>
      </w:pPr>
      <w:r>
        <w:rPr>
          <w:szCs w:val="32"/>
        </w:rPr>
        <w:t>（二）有悔罪表现；　</w:t>
      </w:r>
    </w:p>
    <w:p>
      <w:pPr>
        <w:spacing w:line="520" w:lineRule="exact"/>
        <w:ind w:firstLine="622" w:firstLineChars="198"/>
        <w:rPr>
          <w:rFonts w:hint="eastAsia"/>
          <w:szCs w:val="32"/>
        </w:rPr>
      </w:pPr>
      <w:r>
        <w:rPr>
          <w:szCs w:val="32"/>
        </w:rPr>
        <w:t>（三）没有再犯罪的危险；　</w:t>
      </w:r>
    </w:p>
    <w:p>
      <w:pPr>
        <w:spacing w:line="520" w:lineRule="exact"/>
        <w:ind w:firstLine="622" w:firstLineChars="198"/>
        <w:rPr>
          <w:rFonts w:hint="eastAsia"/>
          <w:szCs w:val="32"/>
        </w:rPr>
      </w:pPr>
      <w:r>
        <w:rPr>
          <w:szCs w:val="32"/>
        </w:rPr>
        <w:t>（四）宣告缓刑对所居住社区没有重大不良影响。　</w:t>
      </w:r>
    </w:p>
    <w:p>
      <w:pPr>
        <w:spacing w:line="520" w:lineRule="exact"/>
        <w:ind w:firstLine="622" w:firstLineChars="198"/>
        <w:rPr>
          <w:rFonts w:hint="eastAsia"/>
          <w:szCs w:val="32"/>
        </w:rPr>
      </w:pPr>
      <w:r>
        <w:rPr>
          <w:szCs w:val="32"/>
        </w:rPr>
        <w:t>宣告缓刑，可以根据犯罪情况，同时禁止犯罪分子在缓刑考验期限内从事特定活动，进入特定区域、场所，接触特定的人。　　</w:t>
      </w:r>
      <w:r>
        <w:rPr>
          <w:rFonts w:hint="eastAsia"/>
          <w:szCs w:val="32"/>
        </w:rPr>
        <w:t xml:space="preserve"> </w:t>
      </w:r>
      <w:r>
        <w:rPr>
          <w:szCs w:val="32"/>
        </w:rPr>
        <w:t>被宣告缓刑的犯罪分子，如果被判处附加刑，附加刑仍须执行。　　</w:t>
      </w:r>
    </w:p>
    <w:p>
      <w:pPr>
        <w:spacing w:line="520" w:lineRule="exact"/>
        <w:ind w:firstLine="622" w:firstLineChars="198"/>
        <w:rPr>
          <w:rFonts w:hint="eastAsia"/>
          <w:szCs w:val="32"/>
        </w:rPr>
      </w:pPr>
      <w:r>
        <w:rPr>
          <w:rFonts w:hint="eastAsia"/>
          <w:szCs w:val="32"/>
        </w:rPr>
        <w:t>四、《中华人民共和国刑法》第七十三条：拘役的缓刑考验期限为原判刑罚以上一年以下，但是不能少于二个月。</w:t>
      </w:r>
    </w:p>
    <w:p>
      <w:pPr>
        <w:spacing w:line="520" w:lineRule="exact"/>
        <w:ind w:firstLine="622" w:firstLineChars="198"/>
        <w:rPr>
          <w:rFonts w:hint="eastAsia"/>
          <w:szCs w:val="32"/>
        </w:rPr>
      </w:pPr>
      <w:r>
        <w:rPr>
          <w:rFonts w:hint="eastAsia"/>
          <w:szCs w:val="32"/>
        </w:rPr>
        <w:t>有期徒刑的缓刑考验期限为原判刑罚以上五年以下，但是不能少于一年。</w:t>
      </w:r>
    </w:p>
    <w:p>
      <w:pPr>
        <w:spacing w:line="520" w:lineRule="exact"/>
        <w:ind w:firstLine="622" w:firstLineChars="198"/>
        <w:rPr>
          <w:rFonts w:hint="eastAsia"/>
          <w:szCs w:val="32"/>
        </w:rPr>
      </w:pPr>
      <w:r>
        <w:rPr>
          <w:rFonts w:hint="eastAsia"/>
          <w:szCs w:val="32"/>
        </w:rPr>
        <w:t>缓刑考验期限，从判决确定之日起计算。</w:t>
      </w:r>
    </w:p>
    <w:p>
      <w:pPr>
        <w:spacing w:line="520" w:lineRule="exact"/>
        <w:ind w:firstLine="622" w:firstLineChars="198"/>
        <w:rPr>
          <w:rFonts w:hint="eastAsia"/>
          <w:color w:val="auto"/>
          <w:szCs w:val="32"/>
        </w:rPr>
      </w:pPr>
      <w:r>
        <w:rPr>
          <w:rFonts w:hint="eastAsia"/>
          <w:szCs w:val="32"/>
        </w:rPr>
        <w:t>五、《中华人民共和国刑法》第七十六条：对宣告缓刑的犯罪分子，在缓刑考验期限内，依法实行社区矫正，如果没有本法第七十七条规定的情形，缓刑考验期满，原判的刑罚就不再执行，并公开予以宣告。</w:t>
      </w:r>
    </w:p>
    <w:p>
      <w:pPr>
        <w:spacing w:line="520" w:lineRule="exact"/>
        <w:ind w:firstLine="622" w:firstLineChars="198"/>
        <w:rPr>
          <w:color w:val="auto"/>
          <w:szCs w:val="32"/>
        </w:rPr>
      </w:pPr>
      <w:r>
        <w:rPr>
          <w:rFonts w:hint="eastAsia"/>
          <w:color w:val="auto"/>
        </w:rPr>
        <w:t>六、</w:t>
      </w:r>
      <w:r>
        <w:rPr>
          <w:color w:val="auto"/>
        </w:rPr>
        <w:t>《最高人民法院</w:t>
      </w:r>
      <w:r>
        <w:rPr>
          <w:rFonts w:hint="eastAsia"/>
          <w:color w:val="auto"/>
        </w:rPr>
        <w:t>、最高人民检察院</w:t>
      </w:r>
      <w:r>
        <w:rPr>
          <w:color w:val="auto"/>
        </w:rPr>
        <w:t>关于办理妨害信用卡管理刑事案件具体应用法律若干问题的解释》第</w:t>
      </w:r>
      <w:r>
        <w:rPr>
          <w:rFonts w:hint="eastAsia"/>
          <w:color w:val="auto"/>
        </w:rPr>
        <w:t>五</w:t>
      </w:r>
      <w:r>
        <w:rPr>
          <w:color w:val="auto"/>
        </w:rPr>
        <w:t>条</w:t>
      </w:r>
      <w:r>
        <w:rPr>
          <w:rFonts w:hint="eastAsia"/>
          <w:color w:val="auto"/>
        </w:rPr>
        <w:t>：</w:t>
      </w:r>
      <w:r>
        <w:rPr>
          <w:rFonts w:hint="eastAsia"/>
          <w:szCs w:val="32"/>
        </w:rPr>
        <w:t>使用伪造的信用卡、以虚假的身份证明骗领的信用卡、作废的信用卡或者冒用他人信用卡，进行信用卡诈骗活动，数额在5000元以上不满5万元的，应当认定为刑法第一百九十六条规定的“数额较大”；数额在5万元以上不满50万元的，应当认定为刑法第一百九十六条规定的“数额巨大”；数额在50万元以上的，应当认定为刑法第一百九十六条规定的“数额特别巨大”。</w:t>
      </w:r>
      <w:r>
        <w:rPr>
          <w:rFonts w:hint="eastAsia"/>
          <w:szCs w:val="32"/>
        </w:rPr>
        <w:br w:type="textWrapping"/>
      </w:r>
      <w:r>
        <w:rPr>
          <w:rFonts w:hint="eastAsia"/>
          <w:szCs w:val="32"/>
        </w:rPr>
        <w:t xml:space="preserve">    刑法第一百九十六条第一款第（三）项所称“冒用他人信用卡”，包括以下情形：</w:t>
      </w:r>
      <w:r>
        <w:rPr>
          <w:rFonts w:hint="eastAsia"/>
          <w:szCs w:val="32"/>
        </w:rPr>
        <w:br w:type="textWrapping"/>
      </w:r>
      <w:r>
        <w:rPr>
          <w:rFonts w:hint="eastAsia"/>
          <w:szCs w:val="32"/>
        </w:rPr>
        <w:t xml:space="preserve">    （一）拾得他人信用卡并使用的；</w:t>
      </w:r>
      <w:r>
        <w:rPr>
          <w:rFonts w:hint="eastAsia"/>
          <w:szCs w:val="32"/>
        </w:rPr>
        <w:br w:type="textWrapping"/>
      </w:r>
      <w:r>
        <w:rPr>
          <w:rFonts w:hint="eastAsia"/>
          <w:szCs w:val="32"/>
        </w:rPr>
        <w:t xml:space="preserve">    （二）骗取他人信用卡并使用的；</w:t>
      </w:r>
      <w:r>
        <w:rPr>
          <w:rFonts w:hint="eastAsia"/>
          <w:szCs w:val="32"/>
        </w:rPr>
        <w:br w:type="textWrapping"/>
      </w:r>
      <w:r>
        <w:rPr>
          <w:rFonts w:hint="eastAsia"/>
          <w:szCs w:val="32"/>
        </w:rPr>
        <w:t xml:space="preserve">    （三）窃取、收买、骗取或者以其他非法方式获取他人信用卡信息资料，并通过互联网、通讯终端等使用的；</w:t>
      </w:r>
      <w:r>
        <w:rPr>
          <w:rFonts w:hint="eastAsia"/>
          <w:szCs w:val="32"/>
        </w:rPr>
        <w:br w:type="textWrapping"/>
      </w:r>
      <w:r>
        <w:rPr>
          <w:rFonts w:hint="eastAsia"/>
          <w:szCs w:val="32"/>
        </w:rPr>
        <w:t xml:space="preserve">    （四）其他冒用他人信用卡的情形。</w:t>
      </w:r>
    </w:p>
    <w:p>
      <w:pPr>
        <w:overflowPunct w:val="0"/>
        <w:spacing w:line="520" w:lineRule="exact"/>
        <w:ind w:firstLine="628" w:firstLineChars="200"/>
        <w:rPr>
          <w:rFonts w:hint="eastAsia"/>
          <w:szCs w:val="32"/>
        </w:rPr>
      </w:pPr>
      <w:r>
        <w:rPr>
          <w:rFonts w:hint="eastAsia"/>
          <w:szCs w:val="32"/>
        </w:rPr>
        <w:t xml:space="preserve"> </w:t>
      </w:r>
    </w:p>
    <w:p>
      <w:pPr>
        <w:overflowPunct w:val="0"/>
        <w:spacing w:line="520" w:lineRule="exact"/>
        <w:ind w:left="628" w:leftChars="200" w:firstLine="628" w:firstLineChars="200"/>
        <w:rPr>
          <w:rFonts w:hint="eastAsia"/>
          <w:szCs w:val="32"/>
        </w:rPr>
      </w:pPr>
    </w:p>
    <w:sectPr>
      <w:headerReference r:id="rId3" w:type="default"/>
      <w:footerReference r:id="rId4" w:type="default"/>
      <w:footerReference r:id="rId5" w:type="even"/>
      <w:pgSz w:w="11907" w:h="16840"/>
      <w:pgMar w:top="1701" w:right="1418" w:bottom="1701" w:left="1701" w:header="0" w:footer="1361" w:gutter="0"/>
      <w:cols w:space="425" w:num="1"/>
      <w:docGrid w:type="linesAndChars" w:linePitch="436" w:charSpace="-125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_x000B__x000C_">
    <w:altName w:val="Times New Roman"/>
    <w:panose1 w:val="00000000000000000000"/>
    <w:charset w:val="00"/>
    <w:family w:val="roman"/>
    <w:pitch w:val="default"/>
    <w:sig w:usb0="00000000" w:usb1="00000000" w:usb2="00000000"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center" w:y="1"/>
      <w:rPr>
        <w:rStyle w:val="9"/>
      </w:rPr>
    </w:pPr>
    <w:r>
      <w:rPr>
        <w:rStyle w:val="9"/>
      </w:rPr>
      <w:fldChar w:fldCharType="begin"/>
    </w:r>
    <w:r>
      <w:rPr>
        <w:rStyle w:val="9"/>
      </w:rPr>
      <w:instrText xml:space="preserve">PAGE  </w:instrText>
    </w:r>
    <w:r>
      <w:rPr>
        <w:rStyle w:val="9"/>
      </w:rPr>
      <w:fldChar w:fldCharType="separate"/>
    </w:r>
    <w:r>
      <w:rPr>
        <w:rStyle w:val="9"/>
      </w:rPr>
      <w:t>3</w:t>
    </w:r>
    <w:r>
      <w:rPr>
        <w:rStyle w:val="9"/>
      </w:rPr>
      <w:fldChar w:fldCharType="end"/>
    </w:r>
  </w:p>
  <w:p>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center" w:y="1"/>
      <w:rPr>
        <w:rStyle w:val="9"/>
      </w:rPr>
    </w:pPr>
    <w:r>
      <w:rPr>
        <w:rStyle w:val="9"/>
      </w:rPr>
      <w:fldChar w:fldCharType="begin"/>
    </w:r>
    <w:r>
      <w:rPr>
        <w:rStyle w:val="9"/>
      </w:rPr>
      <w:instrText xml:space="preserve">PAGE  </w:instrText>
    </w:r>
    <w:r>
      <w:rPr>
        <w:rStyle w:val="9"/>
      </w:rPr>
      <w:fldChar w:fldCharType="end"/>
    </w:r>
  </w:p>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0"/>
      </w:pBdr>
    </w:pPr>
  </w:p>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425"/>
  <w:hyphenationZone w:val="360"/>
  <w:drawingGridHorizontalSpacing w:val="157"/>
  <w:drawingGridVerticalSpacing w:val="218"/>
  <w:displayHorizontalDrawingGridEvery w:val="0"/>
  <w:displayVerticalDrawingGridEvery w:val="2"/>
  <w:characterSpacingControl w:val="compressPunctuation"/>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00000"/>
    <w:rsid w:val="3ADF120D"/>
    <w:rsid w:val="416A3A16"/>
    <w:rsid w:val="55433594"/>
    <w:rsid w:val="680963BD"/>
    <w:rsid w:val="7C046EE0"/>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仿宋_GB2312" w:hAnsi="Times New Roman" w:eastAsia="仿宋_GB2312" w:cs="Times New Roman"/>
      <w:color w:val="000000"/>
      <w:kern w:val="2"/>
      <w:sz w:val="32"/>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8">
    <w:name w:val="Default Paragraph Font"/>
    <w:semiHidden/>
    <w:uiPriority w:val="0"/>
  </w:style>
  <w:style w:type="table" w:default="1" w:styleId="11">
    <w:name w:val="Normal Table"/>
    <w:semiHidden/>
    <w:uiPriority w:val="0"/>
    <w:tblPr>
      <w:tblLayout w:type="fixed"/>
      <w:tblCellMar>
        <w:top w:w="0" w:type="dxa"/>
        <w:left w:w="108" w:type="dxa"/>
        <w:bottom w:w="0" w:type="dxa"/>
        <w:right w:w="108" w:type="dxa"/>
      </w:tblCellMar>
    </w:tblPr>
  </w:style>
  <w:style w:type="paragraph" w:styleId="3">
    <w:name w:val="Body Text Indent"/>
    <w:basedOn w:val="1"/>
    <w:uiPriority w:val="0"/>
    <w:pPr>
      <w:wordWrap w:val="0"/>
      <w:spacing w:line="520" w:lineRule="exact"/>
      <w:ind w:firstLine="548" w:firstLineChars="200"/>
    </w:pPr>
    <w:rPr>
      <w:spacing w:val="-20"/>
    </w:rPr>
  </w:style>
  <w:style w:type="paragraph" w:styleId="4">
    <w:name w:val="Balloon Text"/>
    <w:basedOn w:val="1"/>
    <w:semiHidden/>
    <w:uiPriority w:val="0"/>
    <w:rPr>
      <w:sz w:val="18"/>
      <w:szCs w:val="18"/>
    </w:rPr>
  </w:style>
  <w:style w:type="paragraph" w:styleId="5">
    <w:name w:val="footer"/>
    <w:basedOn w:val="1"/>
    <w:uiPriority w:val="0"/>
    <w:pPr>
      <w:tabs>
        <w:tab w:val="center" w:pos="4153"/>
        <w:tab w:val="right" w:pos="8306"/>
      </w:tabs>
      <w:snapToGrid w:val="0"/>
      <w:jc w:val="left"/>
    </w:pPr>
    <w:rPr>
      <w:sz w:val="18"/>
      <w:szCs w:val="18"/>
    </w:rPr>
  </w:style>
  <w:style w:type="paragraph" w:styleId="6">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7">
    <w:name w:val="Normal (Web)"/>
    <w:basedOn w:val="1"/>
    <w:uiPriority w:val="0"/>
    <w:pPr>
      <w:widowControl/>
      <w:spacing w:before="100" w:beforeAutospacing="1" w:after="100" w:afterAutospacing="1"/>
      <w:jc w:val="left"/>
    </w:pPr>
    <w:rPr>
      <w:rFonts w:hint="eastAsia" w:ascii="宋体" w:hAnsi="宋体" w:eastAsia="宋体"/>
      <w:color w:val="auto"/>
      <w:kern w:val="0"/>
      <w:sz w:val="24"/>
      <w:szCs w:val="24"/>
    </w:rPr>
  </w:style>
  <w:style w:type="character" w:styleId="9">
    <w:name w:val="page number"/>
    <w:basedOn w:val="8"/>
    <w:uiPriority w:val="0"/>
  </w:style>
  <w:style w:type="character" w:styleId="10">
    <w:name w:val="Hyperlink"/>
    <w:basedOn w:val="8"/>
    <w:uiPriority w:val="0"/>
    <w:rPr>
      <w:color w:val="0000FF"/>
      <w:u w:val="single"/>
    </w:rPr>
  </w:style>
  <w:style w:type="table" w:styleId="12">
    <w:name w:val="Table Grid"/>
    <w:basedOn w:val="11"/>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3">
    <w:name w:val="content"/>
    <w:basedOn w:val="1"/>
    <w:uiPriority w:val="0"/>
    <w:pPr>
      <w:widowControl/>
      <w:spacing w:line="300" w:lineRule="auto"/>
    </w:pPr>
    <w:rPr>
      <w:rFonts w:hint="eastAsia" w:hAnsi="宋体"/>
      <w:color w:val="auto"/>
      <w:kern w:val="0"/>
      <w:szCs w:val="32"/>
    </w:rPr>
  </w:style>
  <w:style w:type="paragraph" w:customStyle="1" w:styleId="14">
    <w:name w:val="title"/>
    <w:basedOn w:val="1"/>
    <w:uiPriority w:val="0"/>
    <w:pPr>
      <w:widowControl/>
      <w:spacing w:line="300" w:lineRule="auto"/>
      <w:jc w:val="center"/>
    </w:pPr>
    <w:rPr>
      <w:rFonts w:hint="eastAsia" w:ascii="宋体" w:hAnsi="宋体" w:eastAsia="宋体"/>
      <w:b/>
      <w:bCs/>
      <w:color w:val="auto"/>
      <w:kern w:val="0"/>
      <w:sz w:val="44"/>
      <w:szCs w:val="4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My%20Documents\&#21009;&#20107;&#21028;&#20915;&#20070;&#31295;.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刑事判决书稿</Template>
  <Company>Lenovo</Company>
  <Pages>6</Pages>
  <Words>418</Words>
  <Characters>2383</Characters>
  <Lines>19</Lines>
  <Paragraphs>5</Paragraphs>
  <TotalTime>0</TotalTime>
  <ScaleCrop>false</ScaleCrop>
  <LinksUpToDate>false</LinksUpToDate>
  <CharactersWithSpaces>2796</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2016-04-26T09:44:00Z</dcterms:created>
  <dc:creator>TONFUN</dc:creator>
  <cp:lastModifiedBy>TF-PC</cp:lastModifiedBy>
  <cp:lastPrinted>2015-08-10T03:23:00Z</cp:lastPrinted>
  <dcterms:modified xsi:type="dcterms:W3CDTF">2018-08-27T09:41:59Z</dcterms:modified>
  <dc:title>天津市东丽区人民法院</dc:title>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