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800" w:lineRule="exact"/>
        <w:jc w:val="center"/>
        <w:rPr>
          <w:rFonts w:hint="eastAsia" w:ascii="方正小标宋简体" w:hAnsi="方正小标宋简体" w:eastAsia="方正小标宋简体" w:cs="方正小标宋简体"/>
          <w:sz w:val="36"/>
          <w:szCs w:val="36"/>
        </w:rPr>
      </w:pPr>
      <w:bookmarkStart w:id="0" w:name="_GoBack"/>
      <w:bookmarkEnd w:id="0"/>
    </w:p>
    <w:p>
      <w:pPr>
        <w:spacing w:line="800" w:lineRule="exact"/>
        <w:jc w:val="center"/>
        <w:rPr>
          <w:rFonts w:hint="eastAsia" w:ascii="方正小标宋简体" w:hAnsi="方正小标宋简体" w:eastAsia="方正小标宋简体" w:cs="方正小标宋简体"/>
          <w:sz w:val="44"/>
          <w:szCs w:val="44"/>
        </w:rPr>
      </w:pPr>
    </w:p>
    <w:p>
      <w:pPr>
        <w:spacing w:line="52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天津市武清区人民法院</w:t>
      </w:r>
    </w:p>
    <w:p>
      <w:pPr>
        <w:spacing w:line="52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刑 事 判 决 书</w:t>
      </w:r>
    </w:p>
    <w:p>
      <w:pPr>
        <w:ind w:firstLine="624" w:firstLineChars="200"/>
        <w:rPr>
          <w:rFonts w:hint="eastAsia" w:ascii="仿宋_GB2312" w:eastAsia="仿宋_GB2312"/>
          <w:sz w:val="32"/>
        </w:rPr>
      </w:pPr>
      <w:r>
        <w:rPr>
          <w:rFonts w:hint="eastAsia" w:ascii="仿宋_GB2312" w:eastAsia="仿宋_GB2312"/>
          <w:sz w:val="32"/>
        </w:rPr>
        <w:t xml:space="preserve">                          </w:t>
      </w:r>
    </w:p>
    <w:p>
      <w:pPr>
        <w:ind w:firstLine="624" w:firstLineChars="200"/>
        <w:rPr>
          <w:rFonts w:hint="eastAsia" w:ascii="仿宋_GB2312" w:eastAsia="仿宋_GB2312"/>
          <w:sz w:val="32"/>
        </w:rPr>
      </w:pPr>
      <w:r>
        <w:rPr>
          <w:rFonts w:hint="eastAsia" w:ascii="仿宋_GB2312" w:eastAsia="仿宋_GB2312"/>
          <w:sz w:val="32"/>
        </w:rPr>
        <w:t xml:space="preserve">                        （2017）津0114刑初735号</w:t>
      </w:r>
    </w:p>
    <w:p>
      <w:pPr>
        <w:pStyle w:val="2"/>
        <w:spacing w:line="520" w:lineRule="exact"/>
        <w:ind w:firstLine="624" w:firstLineChars="200"/>
        <w:rPr>
          <w:rFonts w:hint="eastAsia" w:ascii="仿宋_GB2312" w:hAnsi="仿宋_GB2312" w:eastAsia="仿宋_GB2312"/>
          <w:sz w:val="32"/>
        </w:rPr>
      </w:pPr>
    </w:p>
    <w:p>
      <w:pPr>
        <w:pStyle w:val="2"/>
        <w:tabs>
          <w:tab w:val="left" w:pos="7665"/>
        </w:tabs>
        <w:spacing w:line="520" w:lineRule="exact"/>
        <w:ind w:firstLine="624" w:firstLineChars="200"/>
        <w:rPr>
          <w:rFonts w:hint="eastAsia" w:ascii="仿宋_GB2312" w:eastAsia="仿宋_GB2312"/>
          <w:sz w:val="32"/>
        </w:rPr>
      </w:pPr>
      <w:r>
        <w:rPr>
          <w:rFonts w:hint="eastAsia" w:ascii="仿宋_GB2312" w:eastAsia="仿宋_GB2312"/>
          <w:sz w:val="32"/>
        </w:rPr>
        <w:t>公诉机关天津市武清区人民检察院。</w:t>
      </w:r>
    </w:p>
    <w:p>
      <w:pPr>
        <w:pStyle w:val="2"/>
        <w:spacing w:line="520" w:lineRule="exact"/>
        <w:ind w:firstLine="624" w:firstLineChars="200"/>
        <w:rPr>
          <w:rFonts w:hint="eastAsia" w:ascii="仿宋_GB2312" w:eastAsia="仿宋_GB2312"/>
          <w:sz w:val="32"/>
        </w:rPr>
      </w:pPr>
      <w:r>
        <w:rPr>
          <w:rFonts w:hint="eastAsia" w:ascii="仿宋_GB2312" w:eastAsia="仿宋_GB2312"/>
          <w:sz w:val="32"/>
        </w:rPr>
        <w:t>被告人陈洪亮，男，1973年5月16日出生于天津市武清区，汉族，群众，农民，小学文化，住武清区曹子里镇后台村一区5排2号。有前科，曾因犯寻衅滋事罪于2006年1月被本院判处有期徒刑六个月，2006年5月12日刑满释放。现因涉嫌犯信用卡诈骗罪于2017年7月16日被天津市公安局武清分局刑事拘留，2017年7月21日被取保候审,2017年9月29日被天津市武清区人民检察院取保候审。</w:t>
      </w:r>
    </w:p>
    <w:p>
      <w:pPr>
        <w:pStyle w:val="2"/>
        <w:spacing w:line="520" w:lineRule="exact"/>
        <w:ind w:firstLine="624" w:firstLineChars="200"/>
        <w:rPr>
          <w:rFonts w:hint="eastAsia" w:ascii="仿宋_GB2312" w:hAnsi="宋体" w:eastAsia="仿宋_GB2312"/>
          <w:sz w:val="32"/>
        </w:rPr>
      </w:pPr>
      <w:r>
        <w:rPr>
          <w:rFonts w:hint="eastAsia" w:ascii="仿宋_GB2312" w:eastAsia="仿宋_GB2312"/>
          <w:sz w:val="32"/>
        </w:rPr>
        <w:t>天津市武清区人民检察院以津武检公诉刑诉[2017]733号起诉书指控被告人陈洪亮犯信用卡诈骗罪，于2017年11月9日向本院提起公诉，适用认罪认罚从宽制度。</w:t>
      </w:r>
      <w:r>
        <w:rPr>
          <w:rFonts w:hint="eastAsia" w:ascii="仿宋_GB2312" w:hAnsi="宋体" w:eastAsia="仿宋_GB2312"/>
          <w:sz w:val="32"/>
        </w:rPr>
        <w:t>本院于当日立案，并适用简易程序，依法组成合议庭</w:t>
      </w:r>
      <w:r>
        <w:rPr>
          <w:rFonts w:hint="eastAsia" w:ascii="仿宋_GB2312" w:eastAsia="仿宋_GB2312"/>
          <w:sz w:val="32"/>
        </w:rPr>
        <w:t>，公开开庭进行了审理</w:t>
      </w:r>
      <w:r>
        <w:rPr>
          <w:rFonts w:hint="eastAsia" w:ascii="仿宋_GB2312" w:hAnsi="宋体" w:eastAsia="仿宋_GB2312"/>
          <w:sz w:val="32"/>
        </w:rPr>
        <w:t>。</w:t>
      </w:r>
      <w:r>
        <w:rPr>
          <w:rFonts w:hint="eastAsia" w:ascii="仿宋_GB2312" w:eastAsia="仿宋_GB2312"/>
          <w:sz w:val="32"/>
        </w:rPr>
        <w:t>天津市武清区人民检察院指派检察员孟德琪出庭支持公诉，</w:t>
      </w:r>
      <w:r>
        <w:rPr>
          <w:rFonts w:hint="eastAsia" w:ascii="仿宋_GB2312" w:hAnsi="宋体" w:eastAsia="仿宋_GB2312"/>
          <w:sz w:val="32"/>
        </w:rPr>
        <w:t>被告人陈洪亮到庭参加了诉讼。现已审理终结。</w:t>
      </w:r>
    </w:p>
    <w:p>
      <w:pPr>
        <w:spacing w:line="520" w:lineRule="exact"/>
        <w:ind w:right="-32" w:firstLine="624" w:firstLineChars="200"/>
        <w:rPr>
          <w:rFonts w:hint="eastAsia" w:ascii="仿宋_GB2312" w:eastAsia="仿宋_GB2312"/>
          <w:sz w:val="32"/>
        </w:rPr>
      </w:pPr>
      <w:r>
        <w:rPr>
          <w:rFonts w:hint="eastAsia" w:ascii="仿宋_GB2312" w:eastAsia="仿宋_GB2312"/>
          <w:sz w:val="32"/>
        </w:rPr>
        <w:t>经审理查明，被告人陈洪亮于2014年6月份申领了中国光大银行天津分行信用卡2张，后于2014年7月份至2016年9月份期间，多次使用上述信用卡进行透支后未还款，未归还的透支款项共计人民币18万余元，后发卡行采用上门当面催收及电话催收等形式多次对其进行催收，被告人陈洪亮超过三个月仍未归还欠款。</w:t>
      </w:r>
    </w:p>
    <w:p>
      <w:pPr>
        <w:spacing w:line="520" w:lineRule="exact"/>
        <w:ind w:right="-32" w:firstLine="624" w:firstLineChars="200"/>
        <w:rPr>
          <w:rFonts w:hint="eastAsia" w:ascii="仿宋_GB2312" w:eastAsia="仿宋_GB2312"/>
          <w:sz w:val="32"/>
        </w:rPr>
      </w:pPr>
      <w:r>
        <w:rPr>
          <w:rFonts w:hint="eastAsia" w:ascii="仿宋_GB2312" w:eastAsia="仿宋_GB2312"/>
          <w:sz w:val="32"/>
        </w:rPr>
        <w:t>被告人陈洪亮后被查获，并在案发后归还全部欠款并取得谅解。被告人陈洪亮如实供述自己的犯罪事实。</w:t>
      </w:r>
    </w:p>
    <w:p>
      <w:pPr>
        <w:spacing w:line="520" w:lineRule="exact"/>
        <w:ind w:right="-32" w:firstLine="624" w:firstLineChars="200"/>
        <w:rPr>
          <w:rFonts w:ascii="仿宋_GB2312" w:eastAsia="仿宋_GB2312"/>
          <w:sz w:val="32"/>
        </w:rPr>
      </w:pPr>
      <w:r>
        <w:rPr>
          <w:rFonts w:hint="eastAsia" w:ascii="仿宋_GB2312" w:eastAsia="仿宋_GB2312"/>
          <w:sz w:val="32"/>
        </w:rPr>
        <w:t>被告人陈洪亮协助公安机关抓获其他犯罪嫌疑人1名。</w:t>
      </w:r>
    </w:p>
    <w:p>
      <w:pPr>
        <w:spacing w:line="520" w:lineRule="exact"/>
        <w:ind w:firstLine="624" w:firstLineChars="200"/>
        <w:rPr>
          <w:rFonts w:hint="eastAsia" w:ascii="仿宋_GB2312" w:eastAsia="仿宋_GB2312"/>
          <w:sz w:val="32"/>
        </w:rPr>
      </w:pPr>
      <w:r>
        <w:rPr>
          <w:rFonts w:hint="eastAsia" w:ascii="仿宋_GB2312" w:eastAsia="仿宋_GB2312"/>
          <w:sz w:val="32"/>
        </w:rPr>
        <w:t>上述事实，被告人陈洪亮在开庭审理中亦无异议，且有案件来源及抓获经过、证人证言、中国光大银行股份有限公司天津分行出具的举报材料、授权委托书、陈洪亮办理银行信用卡的材料及信用卡账单、催收记录、信用卡账户交易明细、被告人供述、结清证明等证据证实，足以认定。</w:t>
      </w:r>
    </w:p>
    <w:p>
      <w:pPr>
        <w:pStyle w:val="2"/>
        <w:spacing w:line="520" w:lineRule="exact"/>
        <w:ind w:firstLine="624" w:firstLineChars="200"/>
        <w:rPr>
          <w:rFonts w:hint="eastAsia" w:ascii="仿宋_GB2312" w:hAnsi="Times New Roman" w:eastAsia="仿宋_GB2312"/>
          <w:sz w:val="32"/>
        </w:rPr>
      </w:pPr>
      <w:r>
        <w:rPr>
          <w:rFonts w:hint="eastAsia" w:ascii="仿宋_GB2312" w:hAnsi="Times New Roman" w:eastAsia="仿宋_GB2312"/>
          <w:sz w:val="32"/>
        </w:rPr>
        <w:t>本院认为，被告人陈洪亮以非法占有为目的，超过规定期限透支，经发卡银行催收后仍不归还，系恶意透支，且数额巨大，其行为已构成信用卡诈骗罪。公诉机关对被告人陈洪亮犯信用卡诈骗罪的指控成立，要求适用法律条款的意见是正确的，应予采纳。被告人陈洪亮协助公安机关抓获犯罪嫌疑人，系立功，依法可减轻处罚。被告人陈洪亮能</w:t>
      </w:r>
      <w:r>
        <w:rPr>
          <w:rFonts w:ascii="仿宋_GB2312" w:hAnsi="Times New Roman" w:eastAsia="仿宋_GB2312"/>
          <w:sz w:val="32"/>
        </w:rPr>
        <w:t>自愿认罪，</w:t>
      </w:r>
      <w:r>
        <w:rPr>
          <w:rFonts w:hint="eastAsia" w:ascii="仿宋_GB2312" w:hAnsi="Times New Roman" w:eastAsia="仿宋_GB2312"/>
          <w:sz w:val="32"/>
        </w:rPr>
        <w:t>有悔罪表现，且退赔了被害银行的经济损失，取得了被害银行的谅解，依法均可酌情从轻处罚。鉴于本案适用认罪认罚从宽制度，依法从宽处罚。综上，被告人陈洪亮犯信用卡诈骗罪的法定量刑幅度为</w:t>
      </w:r>
      <w:r>
        <w:rPr>
          <w:rFonts w:hint="eastAsia" w:ascii="仿宋_GB2312" w:hAnsi="宋体" w:eastAsia="仿宋_GB2312" w:cs="仿宋_GB2312"/>
          <w:sz w:val="32"/>
          <w:szCs w:val="32"/>
        </w:rPr>
        <w:t>五年以上十年以下有期徒刑，并处五万元以上五十万元以下罚金</w:t>
      </w:r>
      <w:r>
        <w:rPr>
          <w:rFonts w:hint="eastAsia" w:ascii="仿宋_GB2312" w:hAnsi="Times New Roman" w:eastAsia="仿宋_GB2312"/>
          <w:sz w:val="32"/>
        </w:rPr>
        <w:t>。对公诉人综合本案情况发表的建议判处被告人陈洪亮有期徒刑三年至五年，并处罚金的量刑意见，本院予以考虑。本院为维护社会秩序，保障国家金融管理制度不受侵犯，依照《中华人民共和国刑法》第一百九十六条第一款第（四）项、第二款、第六十八条、第七十二条第一款、第三款、第七十三条第二款、第三款的规定，判决如下：</w:t>
      </w:r>
    </w:p>
    <w:p>
      <w:pPr>
        <w:tabs>
          <w:tab w:val="left" w:pos="7699"/>
        </w:tabs>
        <w:spacing w:line="520" w:lineRule="exact"/>
        <w:ind w:right="30" w:rightChars="15" w:firstLine="624" w:firstLineChars="200"/>
        <w:rPr>
          <w:rFonts w:hint="eastAsia" w:ascii="仿宋_GB2312" w:eastAsia="仿宋_GB2312"/>
          <w:sz w:val="32"/>
        </w:rPr>
      </w:pPr>
      <w:r>
        <w:rPr>
          <w:rFonts w:hint="eastAsia" w:ascii="仿宋_GB2312" w:eastAsia="仿宋_GB2312"/>
          <w:sz w:val="32"/>
        </w:rPr>
        <w:t>被告人陈洪亮犯信用卡诈骗罪，判处有期徒刑三年，缓刑四年，并处罚金人民币60000元（缓刑考验期限，从判决确定之日起计算。在刑罚执行期间，被告人应当在相关组织接受社区矫正；罚金自判决生效的第二日起</w:t>
      </w:r>
      <w:r>
        <w:rPr>
          <w:rFonts w:hint="eastAsia" w:ascii="仿宋_GB2312" w:hAnsi="仿宋_GB2312" w:eastAsia="仿宋_GB2312"/>
          <w:sz w:val="32"/>
        </w:rPr>
        <w:t>十日内缴纳）。</w:t>
      </w:r>
    </w:p>
    <w:p>
      <w:pPr>
        <w:pStyle w:val="2"/>
        <w:spacing w:line="520" w:lineRule="exact"/>
        <w:ind w:firstLine="645"/>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如不服本判决，可在接到判决书的第二日起十日内，通过本院或者直接向天津市第一中级人民法院提出上诉，书面上诉的，应当提交上诉状正本一份、副本一份。</w:t>
      </w:r>
    </w:p>
    <w:p>
      <w:pPr>
        <w:pStyle w:val="2"/>
        <w:spacing w:line="440" w:lineRule="exact"/>
        <w:ind w:right="573" w:rightChars="284" w:firstLine="4368" w:firstLineChars="1400"/>
        <w:rPr>
          <w:rFonts w:hint="eastAsia" w:ascii="仿宋_GB2312" w:eastAsia="仿宋_GB2312"/>
          <w:sz w:val="32"/>
        </w:rPr>
      </w:pPr>
    </w:p>
    <w:p>
      <w:pPr>
        <w:pStyle w:val="2"/>
        <w:spacing w:line="440" w:lineRule="exact"/>
        <w:ind w:right="573" w:rightChars="284" w:firstLine="4368" w:firstLineChars="1400"/>
        <w:rPr>
          <w:rFonts w:hint="eastAsia" w:ascii="仿宋_GB2312" w:eastAsia="仿宋_GB2312"/>
          <w:sz w:val="32"/>
        </w:rPr>
      </w:pPr>
    </w:p>
    <w:p>
      <w:pPr>
        <w:pStyle w:val="2"/>
        <w:spacing w:line="440" w:lineRule="exact"/>
        <w:ind w:right="573" w:rightChars="284" w:firstLine="4368" w:firstLineChars="1400"/>
        <w:rPr>
          <w:rFonts w:hint="eastAsia" w:ascii="仿宋_GB2312" w:eastAsia="仿宋_GB2312"/>
          <w:sz w:val="32"/>
        </w:rPr>
      </w:pPr>
    </w:p>
    <w:p>
      <w:pPr>
        <w:pStyle w:val="9"/>
        <w:ind w:firstLine="4056" w:firstLineChars="1300"/>
        <w:rPr>
          <w:rFonts w:hint="eastAsia" w:ascii="仿宋_GB2312" w:eastAsia="仿宋_GB2312" w:cs="仿宋_GB2312"/>
          <w:sz w:val="32"/>
          <w:szCs w:val="32"/>
        </w:rPr>
      </w:pPr>
      <w:r>
        <w:rPr>
          <w:rFonts w:hint="eastAsia" w:ascii="仿宋_GB2312" w:eastAsia="仿宋_GB2312" w:cs="仿宋_GB2312"/>
          <w:sz w:val="32"/>
          <w:szCs w:val="32"/>
        </w:rPr>
        <w:t xml:space="preserve">审    判    长      李海峰  </w:t>
      </w:r>
    </w:p>
    <w:p>
      <w:pPr>
        <w:pStyle w:val="9"/>
        <w:ind w:firstLine="4056" w:firstLineChars="1300"/>
        <w:rPr>
          <w:rFonts w:hint="eastAsia" w:ascii="仿宋_GB2312" w:eastAsia="仿宋_GB2312" w:cs="仿宋_GB2312"/>
          <w:sz w:val="32"/>
          <w:szCs w:val="32"/>
        </w:rPr>
      </w:pPr>
      <w:r>
        <w:rPr>
          <w:rFonts w:hint="eastAsia" w:ascii="仿宋_GB2312" w:eastAsia="仿宋_GB2312" w:cs="仿宋_GB2312"/>
          <w:sz w:val="32"/>
          <w:szCs w:val="32"/>
        </w:rPr>
        <w:t>人 民 陪 审 员      张宝和</w:t>
      </w:r>
    </w:p>
    <w:p>
      <w:pPr>
        <w:pStyle w:val="9"/>
        <w:ind w:firstLine="4056" w:firstLineChars="1300"/>
        <w:rPr>
          <w:rFonts w:hint="eastAsia" w:ascii="仿宋_GB2312" w:eastAsia="仿宋_GB2312" w:cs="仿宋_GB2312"/>
          <w:sz w:val="32"/>
          <w:szCs w:val="32"/>
        </w:rPr>
      </w:pPr>
      <w:r>
        <w:rPr>
          <w:rFonts w:hint="eastAsia" w:ascii="仿宋_GB2312" w:eastAsia="仿宋_GB2312" w:cs="仿宋_GB2312"/>
          <w:sz w:val="32"/>
          <w:szCs w:val="32"/>
        </w:rPr>
        <w:t>人 民 陪 审 员      沈玉霞</w:t>
      </w:r>
    </w:p>
    <w:p>
      <w:pPr>
        <w:pStyle w:val="2"/>
        <w:spacing w:line="500" w:lineRule="exact"/>
        <w:ind w:firstLine="624" w:firstLineChars="200"/>
        <w:rPr>
          <w:rFonts w:hint="eastAsia" w:ascii="仿宋_GB2312" w:hAnsi="仿宋_GB2312" w:eastAsia="仿宋_GB2312"/>
          <w:sz w:val="32"/>
        </w:rPr>
      </w:pPr>
      <w:r>
        <w:rPr>
          <w:rFonts w:hint="eastAsia" w:ascii="仿宋_GB2312" w:hAnsi="仿宋_GB2312" w:eastAsia="仿宋_GB2312"/>
          <w:sz w:val="32"/>
        </w:rPr>
        <w:t xml:space="preserve">                     </w:t>
      </w:r>
    </w:p>
    <w:p>
      <w:pPr>
        <w:pStyle w:val="2"/>
        <w:spacing w:line="500" w:lineRule="exact"/>
        <w:ind w:firstLine="624" w:firstLineChars="200"/>
        <w:rPr>
          <w:rFonts w:hint="eastAsia" w:ascii="仿宋_GB2312" w:hAnsi="仿宋_GB2312" w:eastAsia="仿宋_GB2312"/>
          <w:sz w:val="32"/>
        </w:rPr>
      </w:pPr>
    </w:p>
    <w:p>
      <w:pPr>
        <w:pStyle w:val="2"/>
        <w:spacing w:line="500" w:lineRule="exact"/>
        <w:ind w:firstLine="624" w:firstLineChars="200"/>
        <w:rPr>
          <w:rFonts w:hint="eastAsia" w:ascii="仿宋_GB2312" w:hAnsi="仿宋_GB2312" w:eastAsia="仿宋_GB2312"/>
          <w:sz w:val="32"/>
        </w:rPr>
      </w:pPr>
    </w:p>
    <w:p>
      <w:pPr>
        <w:pStyle w:val="2"/>
        <w:spacing w:line="500" w:lineRule="exact"/>
        <w:ind w:firstLine="4056" w:firstLineChars="1300"/>
        <w:rPr>
          <w:rFonts w:hint="eastAsia" w:ascii="仿宋_GB2312" w:hAnsi="仿宋_GB2312" w:eastAsia="仿宋_GB2312"/>
          <w:spacing w:val="-10"/>
          <w:sz w:val="32"/>
        </w:rPr>
      </w:pPr>
      <w:r>
        <w:rPr>
          <w:rFonts w:hint="eastAsia" w:ascii="仿宋_GB2312" w:hAnsi="仿宋_GB2312" w:eastAsia="仿宋_GB2312"/>
          <w:sz w:val="32"/>
        </w:rPr>
        <w:t xml:space="preserve"> </w:t>
      </w:r>
      <w:r>
        <w:rPr>
          <w:rFonts w:hint="eastAsia" w:ascii="仿宋_GB2312" w:hAnsi="仿宋_GB2312" w:eastAsia="仿宋_GB2312"/>
          <w:spacing w:val="-10"/>
          <w:sz w:val="32"/>
        </w:rPr>
        <w:t xml:space="preserve">二 </w:t>
      </w:r>
      <w:r>
        <w:rPr>
          <w:rFonts w:hint="eastAsia" w:hAnsi="宋体" w:cs="宋体"/>
          <w:spacing w:val="-10"/>
          <w:sz w:val="32"/>
        </w:rPr>
        <w:t xml:space="preserve">〇 </w:t>
      </w:r>
      <w:r>
        <w:rPr>
          <w:rFonts w:hint="eastAsia" w:ascii="仿宋_GB2312" w:hAnsi="仿宋_GB2312" w:eastAsia="仿宋_GB2312"/>
          <w:spacing w:val="-10"/>
          <w:sz w:val="32"/>
        </w:rPr>
        <w:t>一 七 年十一 月十六日</w:t>
      </w:r>
    </w:p>
    <w:p>
      <w:pPr>
        <w:pStyle w:val="9"/>
        <w:ind w:firstLine="4056" w:firstLineChars="1300"/>
        <w:rPr>
          <w:rFonts w:hint="eastAsia" w:ascii="仿宋_GB2312" w:eastAsia="仿宋_GB2312" w:cs="仿宋_GB2312"/>
          <w:sz w:val="32"/>
          <w:szCs w:val="32"/>
        </w:rPr>
      </w:pPr>
    </w:p>
    <w:p>
      <w:pPr>
        <w:pStyle w:val="9"/>
        <w:ind w:firstLine="4056" w:firstLineChars="1300"/>
        <w:rPr>
          <w:rFonts w:hint="eastAsia" w:ascii="仿宋_GB2312" w:eastAsia="仿宋_GB2312" w:cs="仿宋_GB2312"/>
          <w:sz w:val="32"/>
          <w:szCs w:val="32"/>
        </w:rPr>
      </w:pPr>
      <w:r>
        <w:rPr>
          <w:rFonts w:hint="eastAsia" w:ascii="仿宋_GB2312" w:eastAsia="仿宋_GB2312" w:cs="仿宋_GB2312"/>
          <w:sz w:val="32"/>
          <w:szCs w:val="32"/>
        </w:rPr>
        <w:t>书    记    员      刘春秀</w:t>
      </w:r>
    </w:p>
    <w:p>
      <w:pPr>
        <w:pStyle w:val="9"/>
        <w:ind w:firstLine="4056" w:firstLineChars="1300"/>
        <w:rPr>
          <w:rFonts w:hint="eastAsia" w:ascii="仿宋_GB2312" w:eastAsia="仿宋_GB2312" w:cs="仿宋_GB2312"/>
          <w:sz w:val="32"/>
          <w:szCs w:val="32"/>
        </w:rPr>
      </w:pPr>
      <w:r>
        <w:rPr>
          <w:rFonts w:hint="eastAsia" w:ascii="仿宋_GB2312" w:eastAsia="仿宋_GB2312" w:cs="仿宋_GB2312"/>
          <w:sz w:val="32"/>
          <w:szCs w:val="32"/>
        </w:rPr>
        <w:t xml:space="preserve"> </w:t>
      </w:r>
    </w:p>
    <w:p>
      <w:pPr>
        <w:pStyle w:val="2"/>
        <w:spacing w:line="440" w:lineRule="exact"/>
        <w:ind w:right="573" w:rightChars="284" w:firstLine="4368" w:firstLineChars="1400"/>
        <w:rPr>
          <w:rFonts w:hint="eastAsia" w:ascii="仿宋_GB2312" w:eastAsia="仿宋_GB2312"/>
          <w:sz w:val="32"/>
        </w:rPr>
      </w:pPr>
    </w:p>
    <w:p>
      <w:pPr>
        <w:pStyle w:val="2"/>
        <w:spacing w:line="440" w:lineRule="exact"/>
        <w:ind w:right="573" w:rightChars="284" w:firstLine="4368" w:firstLineChars="1400"/>
        <w:rPr>
          <w:rFonts w:hint="eastAsia" w:ascii="仿宋_GB2312" w:eastAsia="仿宋_GB2312"/>
          <w:sz w:val="32"/>
        </w:rPr>
      </w:pPr>
    </w:p>
    <w:p>
      <w:pPr>
        <w:pStyle w:val="2"/>
        <w:spacing w:line="440" w:lineRule="exact"/>
        <w:ind w:firstLine="612" w:firstLineChars="196"/>
        <w:rPr>
          <w:rFonts w:hint="eastAsia" w:ascii="仿宋_GB2312" w:hAnsi="宋体" w:eastAsia="仿宋_GB2312"/>
          <w:b/>
          <w:sz w:val="32"/>
        </w:rPr>
      </w:pPr>
      <w:r>
        <w:rPr>
          <w:rFonts w:hint="eastAsia" w:ascii="仿宋_GB2312" w:hAnsi="宋体" w:eastAsia="仿宋_GB2312"/>
          <w:b/>
          <w:sz w:val="32"/>
        </w:rPr>
        <w:t>附判决引用的《中华人民共和国刑法》相关规定：</w:t>
      </w:r>
    </w:p>
    <w:p>
      <w:pPr>
        <w:pStyle w:val="2"/>
        <w:tabs>
          <w:tab w:val="left" w:pos="3525"/>
        </w:tabs>
        <w:spacing w:line="440" w:lineRule="exact"/>
        <w:ind w:firstLine="624" w:firstLineChars="200"/>
        <w:rPr>
          <w:rFonts w:ascii="仿宋_GB2312" w:hAnsi="宋体" w:eastAsia="仿宋_GB2312"/>
          <w:sz w:val="32"/>
          <w:szCs w:val="32"/>
        </w:rPr>
      </w:pPr>
      <w:r>
        <w:rPr>
          <w:rFonts w:hint="eastAsia" w:ascii="仿宋_GB2312" w:hAnsi="Times New Roman" w:eastAsia="仿宋_GB2312" w:cs="仿宋_GB2312"/>
          <w:sz w:val="32"/>
          <w:szCs w:val="32"/>
        </w:rPr>
        <w:t>第一百九十六条</w:t>
      </w:r>
      <w:r>
        <w:rPr>
          <w:rFonts w:hint="eastAsia" w:ascii="仿宋_GB2312" w:hAnsi="宋体" w:eastAsia="仿宋_GB2312" w:cs="仿宋_GB2312"/>
          <w:b/>
          <w:bCs/>
          <w:smallCaps/>
          <w:sz w:val="32"/>
          <w:szCs w:val="32"/>
        </w:rPr>
        <w:t>：</w:t>
      </w:r>
      <w:r>
        <w:rPr>
          <w:rFonts w:hint="eastAsia" w:ascii="仿宋_GB2312" w:hAnsi="宋体" w:eastAsia="仿宋_GB2312" w:cs="仿宋_GB2312"/>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
        <w:tabs>
          <w:tab w:val="left" w:pos="3525"/>
        </w:tabs>
        <w:spacing w:line="440" w:lineRule="exact"/>
        <w:ind w:firstLine="624" w:firstLineChars="200"/>
        <w:rPr>
          <w:rFonts w:ascii="仿宋_GB2312" w:hAnsi="宋体" w:eastAsia="仿宋_GB2312"/>
          <w:sz w:val="32"/>
          <w:szCs w:val="32"/>
        </w:rPr>
      </w:pPr>
      <w:r>
        <w:rPr>
          <w:rFonts w:hint="eastAsia" w:ascii="仿宋_GB2312" w:hAnsi="宋体" w:eastAsia="仿宋_GB2312" w:cs="仿宋_GB2312"/>
          <w:sz w:val="32"/>
          <w:szCs w:val="32"/>
        </w:rPr>
        <w:t>（一）使用伪造的信用卡的；</w:t>
      </w:r>
    </w:p>
    <w:p>
      <w:pPr>
        <w:pStyle w:val="2"/>
        <w:tabs>
          <w:tab w:val="left" w:pos="3525"/>
        </w:tabs>
        <w:spacing w:line="440" w:lineRule="exact"/>
        <w:ind w:firstLine="624" w:firstLineChars="200"/>
        <w:rPr>
          <w:rFonts w:ascii="仿宋_GB2312" w:hAnsi="宋体" w:eastAsia="仿宋_GB2312"/>
          <w:sz w:val="32"/>
          <w:szCs w:val="32"/>
        </w:rPr>
      </w:pPr>
      <w:r>
        <w:rPr>
          <w:rFonts w:hint="eastAsia" w:ascii="仿宋_GB2312" w:hAnsi="宋体" w:eastAsia="仿宋_GB2312" w:cs="仿宋_GB2312"/>
          <w:sz w:val="32"/>
          <w:szCs w:val="32"/>
        </w:rPr>
        <w:t>（二）使用作废的信用卡的；</w:t>
      </w:r>
    </w:p>
    <w:p>
      <w:pPr>
        <w:pStyle w:val="2"/>
        <w:tabs>
          <w:tab w:val="left" w:pos="3525"/>
        </w:tabs>
        <w:spacing w:line="440" w:lineRule="exact"/>
        <w:ind w:firstLine="624" w:firstLineChars="200"/>
        <w:rPr>
          <w:rFonts w:ascii="仿宋_GB2312" w:hAnsi="宋体" w:eastAsia="仿宋_GB2312"/>
          <w:sz w:val="32"/>
          <w:szCs w:val="32"/>
        </w:rPr>
      </w:pPr>
      <w:r>
        <w:rPr>
          <w:rFonts w:hint="eastAsia" w:ascii="仿宋_GB2312" w:hAnsi="宋体" w:eastAsia="仿宋_GB2312" w:cs="仿宋_GB2312"/>
          <w:sz w:val="32"/>
          <w:szCs w:val="32"/>
        </w:rPr>
        <w:t>（三）冒用他人信用卡的；</w:t>
      </w:r>
    </w:p>
    <w:p>
      <w:pPr>
        <w:pStyle w:val="2"/>
        <w:tabs>
          <w:tab w:val="left" w:pos="3525"/>
        </w:tabs>
        <w:spacing w:line="440" w:lineRule="exact"/>
        <w:ind w:firstLine="624" w:firstLineChars="200"/>
        <w:rPr>
          <w:rFonts w:ascii="仿宋_GB2312" w:hAnsi="宋体" w:eastAsia="仿宋_GB2312"/>
          <w:sz w:val="32"/>
          <w:szCs w:val="32"/>
        </w:rPr>
      </w:pPr>
      <w:r>
        <w:rPr>
          <w:rFonts w:hint="eastAsia" w:ascii="仿宋_GB2312" w:hAnsi="宋体" w:eastAsia="仿宋_GB2312" w:cs="仿宋_GB2312"/>
          <w:sz w:val="32"/>
          <w:szCs w:val="32"/>
        </w:rPr>
        <w:t>（四）恶意透支的。</w:t>
      </w:r>
    </w:p>
    <w:p>
      <w:pPr>
        <w:pStyle w:val="2"/>
        <w:tabs>
          <w:tab w:val="left" w:pos="3525"/>
        </w:tabs>
        <w:spacing w:line="440" w:lineRule="exact"/>
        <w:ind w:firstLine="624"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前款所称恶意透支，是指持卡人以非法占有为目的，超过规定限额或者规定期限透支，并且经发卡银行催收后仍不归还的行为。</w:t>
      </w:r>
    </w:p>
    <w:p>
      <w:pPr>
        <w:pStyle w:val="2"/>
        <w:tabs>
          <w:tab w:val="left" w:pos="3525"/>
        </w:tabs>
        <w:spacing w:line="440" w:lineRule="exact"/>
        <w:ind w:firstLine="624"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盗窃信用卡并使用的，依照本法第二百六十四条的规定定罪处罚。</w:t>
      </w:r>
    </w:p>
    <w:p>
      <w:pPr>
        <w:pStyle w:val="2"/>
        <w:tabs>
          <w:tab w:val="left" w:pos="7665"/>
        </w:tabs>
        <w:spacing w:line="480" w:lineRule="exact"/>
        <w:ind w:firstLine="624" w:firstLineChars="200"/>
        <w:rPr>
          <w:rFonts w:hint="eastAsia" w:ascii="仿宋_GB2312" w:eastAsia="仿宋_GB2312"/>
          <w:sz w:val="32"/>
        </w:rPr>
      </w:pPr>
      <w:r>
        <w:rPr>
          <w:rFonts w:hint="eastAsia" w:ascii="仿宋_GB2312" w:eastAsia="仿宋_GB2312"/>
          <w:sz w:val="32"/>
        </w:rPr>
        <w:t>第六十八条：犯罪分子有揭发他人犯罪行为，查证属实的，或者提供重要线索，从而得以侦破其他案件等立功表现的，可以从轻或者减轻处罚；有重大立功表现的，可以减轻或者免除处罚。</w:t>
      </w:r>
    </w:p>
    <w:p>
      <w:pPr>
        <w:pStyle w:val="2"/>
        <w:spacing w:line="440" w:lineRule="exact"/>
        <w:ind w:firstLine="624" w:firstLineChars="200"/>
        <w:rPr>
          <w:rFonts w:hint="eastAsia" w:ascii="仿宋_GB2312" w:eastAsia="仿宋_GB2312"/>
          <w:sz w:val="32"/>
          <w:szCs w:val="32"/>
        </w:rPr>
      </w:pPr>
      <w:r>
        <w:rPr>
          <w:rFonts w:hint="eastAsia" w:ascii="仿宋_GB2312" w:eastAsia="仿宋_GB2312"/>
          <w:sz w:val="32"/>
          <w:szCs w:val="32"/>
        </w:rPr>
        <w:t>第七十二条：对于被判处拘役、三年以下有期徒刑的犯罪分子，同时符合下列条件的，可以宣告缓刑，对其中不满十八周岁的人、怀孕的妇女和已满七十五周岁的人，应当宣告缓刑：</w:t>
      </w:r>
    </w:p>
    <w:p>
      <w:pPr>
        <w:pStyle w:val="2"/>
        <w:spacing w:line="440" w:lineRule="exact"/>
        <w:ind w:firstLine="624" w:firstLineChars="200"/>
        <w:rPr>
          <w:rFonts w:hint="eastAsia" w:ascii="仿宋_GB2312" w:eastAsia="仿宋_GB2312"/>
          <w:sz w:val="32"/>
          <w:szCs w:val="32"/>
        </w:rPr>
      </w:pPr>
      <w:r>
        <w:rPr>
          <w:rFonts w:hint="eastAsia" w:ascii="仿宋_GB2312" w:eastAsia="仿宋_GB2312"/>
          <w:sz w:val="32"/>
          <w:szCs w:val="32"/>
        </w:rPr>
        <w:t>（一）犯罪情节较轻；</w:t>
      </w:r>
    </w:p>
    <w:p>
      <w:pPr>
        <w:pStyle w:val="2"/>
        <w:spacing w:line="440" w:lineRule="exact"/>
        <w:ind w:firstLine="624" w:firstLineChars="200"/>
        <w:rPr>
          <w:rFonts w:hint="eastAsia" w:ascii="仿宋_GB2312" w:eastAsia="仿宋_GB2312"/>
          <w:sz w:val="32"/>
          <w:szCs w:val="32"/>
        </w:rPr>
      </w:pPr>
      <w:r>
        <w:rPr>
          <w:rFonts w:hint="eastAsia" w:ascii="仿宋_GB2312" w:eastAsia="仿宋_GB2312"/>
          <w:sz w:val="32"/>
          <w:szCs w:val="32"/>
        </w:rPr>
        <w:t>（二）有悔罪表现；</w:t>
      </w:r>
    </w:p>
    <w:p>
      <w:pPr>
        <w:pStyle w:val="2"/>
        <w:spacing w:line="440" w:lineRule="exact"/>
        <w:ind w:firstLine="624" w:firstLineChars="200"/>
        <w:rPr>
          <w:rFonts w:hint="eastAsia" w:ascii="仿宋_GB2312" w:eastAsia="仿宋_GB2312"/>
          <w:sz w:val="32"/>
          <w:szCs w:val="32"/>
        </w:rPr>
      </w:pPr>
      <w:r>
        <w:rPr>
          <w:rFonts w:hint="eastAsia" w:ascii="仿宋_GB2312" w:eastAsia="仿宋_GB2312"/>
          <w:sz w:val="32"/>
          <w:szCs w:val="32"/>
        </w:rPr>
        <w:t>（三）没有再犯罪的危险；</w:t>
      </w:r>
    </w:p>
    <w:p>
      <w:pPr>
        <w:pStyle w:val="2"/>
        <w:spacing w:line="440" w:lineRule="exact"/>
        <w:ind w:firstLine="624" w:firstLineChars="200"/>
        <w:rPr>
          <w:rFonts w:hint="eastAsia" w:ascii="仿宋_GB2312" w:eastAsia="仿宋_GB2312"/>
          <w:sz w:val="32"/>
          <w:szCs w:val="32"/>
        </w:rPr>
      </w:pPr>
      <w:r>
        <w:rPr>
          <w:rFonts w:hint="eastAsia" w:ascii="仿宋_GB2312" w:eastAsia="仿宋_GB2312"/>
          <w:sz w:val="32"/>
          <w:szCs w:val="32"/>
        </w:rPr>
        <w:t>（四）宣告缓刑对所居住社区没有重大不良影响。</w:t>
      </w:r>
    </w:p>
    <w:p>
      <w:pPr>
        <w:pStyle w:val="2"/>
        <w:spacing w:line="440" w:lineRule="exact"/>
        <w:ind w:firstLine="624" w:firstLineChars="200"/>
        <w:rPr>
          <w:rFonts w:hint="eastAsia" w:ascii="仿宋_GB2312" w:eastAsia="仿宋_GB2312"/>
          <w:sz w:val="32"/>
          <w:szCs w:val="32"/>
        </w:rPr>
      </w:pPr>
      <w:r>
        <w:rPr>
          <w:rFonts w:hint="eastAsia" w:ascii="仿宋_GB2312" w:eastAsia="仿宋_GB2312"/>
          <w:sz w:val="32"/>
          <w:szCs w:val="32"/>
        </w:rPr>
        <w:t>宣告缓刑，可以根据犯罪情况，同时禁止犯罪分子在缓刑考验期限内从事特定活动，进入特定区域、场所，接触特定的人。</w:t>
      </w:r>
    </w:p>
    <w:p>
      <w:pPr>
        <w:pStyle w:val="2"/>
        <w:spacing w:line="440" w:lineRule="exact"/>
        <w:ind w:firstLine="624" w:firstLineChars="200"/>
        <w:rPr>
          <w:rFonts w:hint="eastAsia" w:ascii="仿宋_GB2312" w:eastAsia="仿宋_GB2312"/>
          <w:sz w:val="32"/>
          <w:szCs w:val="32"/>
        </w:rPr>
      </w:pPr>
      <w:r>
        <w:rPr>
          <w:rFonts w:hint="eastAsia" w:ascii="仿宋_GB2312" w:eastAsia="仿宋_GB2312"/>
          <w:sz w:val="32"/>
          <w:szCs w:val="32"/>
        </w:rPr>
        <w:t>被宣告缓刑的犯罪分子，如果被判处附加刑，附加刑仍须执行。</w:t>
      </w:r>
    </w:p>
    <w:p>
      <w:pPr>
        <w:pStyle w:val="2"/>
        <w:spacing w:line="440" w:lineRule="exact"/>
        <w:ind w:firstLine="624" w:firstLineChars="200"/>
        <w:rPr>
          <w:rFonts w:hint="eastAsia" w:ascii="仿宋_GB2312" w:eastAsia="仿宋_GB2312"/>
          <w:sz w:val="32"/>
          <w:szCs w:val="32"/>
        </w:rPr>
      </w:pPr>
      <w:r>
        <w:rPr>
          <w:rFonts w:hint="eastAsia" w:ascii="仿宋_GB2312" w:eastAsia="仿宋_GB2312"/>
          <w:sz w:val="32"/>
          <w:szCs w:val="32"/>
        </w:rPr>
        <w:t>第七十三条：拘役的缓刑考验期限为原判刑期以上一年以下，但是不能少于二个月。</w:t>
      </w:r>
    </w:p>
    <w:p>
      <w:pPr>
        <w:pStyle w:val="2"/>
        <w:spacing w:line="440" w:lineRule="exact"/>
        <w:ind w:firstLine="624" w:firstLineChars="200"/>
        <w:rPr>
          <w:rFonts w:hint="eastAsia" w:ascii="仿宋_GB2312" w:eastAsia="仿宋_GB2312"/>
          <w:sz w:val="32"/>
          <w:szCs w:val="32"/>
        </w:rPr>
      </w:pPr>
      <w:r>
        <w:rPr>
          <w:rFonts w:hint="eastAsia" w:ascii="仿宋_GB2312" w:eastAsia="仿宋_GB2312"/>
          <w:sz w:val="32"/>
          <w:szCs w:val="32"/>
        </w:rPr>
        <w:t>有期徒刑的缓刑考验期限为原判刑期以上五年以下，但是不能少于一年。</w:t>
      </w:r>
    </w:p>
    <w:p>
      <w:pPr>
        <w:pStyle w:val="2"/>
        <w:spacing w:line="440" w:lineRule="exact"/>
        <w:ind w:firstLine="624" w:firstLineChars="200"/>
        <w:rPr>
          <w:rFonts w:hint="eastAsia" w:ascii="仿宋_GB2312" w:eastAsia="仿宋_GB2312"/>
          <w:sz w:val="32"/>
          <w:szCs w:val="32"/>
        </w:rPr>
      </w:pPr>
      <w:r>
        <w:rPr>
          <w:rFonts w:hint="eastAsia" w:ascii="仿宋_GB2312" w:eastAsia="仿宋_GB2312"/>
          <w:sz w:val="32"/>
          <w:szCs w:val="32"/>
        </w:rPr>
        <w:t>缓刑考验期限，从判决确定之日起计算。</w:t>
      </w:r>
    </w:p>
    <w:p>
      <w:pPr>
        <w:pStyle w:val="2"/>
        <w:tabs>
          <w:tab w:val="left" w:pos="7665"/>
        </w:tabs>
        <w:spacing w:line="520" w:lineRule="exact"/>
        <w:ind w:firstLine="864" w:firstLineChars="200"/>
        <w:rPr>
          <w:rFonts w:hint="eastAsia" w:hAnsi="宋体"/>
          <w:sz w:val="44"/>
        </w:rPr>
      </w:pPr>
    </w:p>
    <w:sectPr>
      <w:footerReference r:id="rId3" w:type="default"/>
      <w:footerReference r:id="rId4" w:type="even"/>
      <w:pgSz w:w="11906" w:h="16838"/>
      <w:pgMar w:top="2041" w:right="1531" w:bottom="2041" w:left="1531" w:header="851" w:footer="1134" w:gutter="0"/>
      <w:cols w:space="720" w:num="1"/>
      <w:docGrid w:type="linesAndChars" w:linePitch="490" w:charSpace="-18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rPr>
    </w:pPr>
    <w:r>
      <w:fldChar w:fldCharType="begin"/>
    </w:r>
    <w:r>
      <w:instrText xml:space="preserve"> PAGE   \* MERGEFORMAT </w:instrText>
    </w:r>
    <w:r>
      <w:rPr>
        <w:rFonts w:hint="eastAsia"/>
      </w:rPr>
      <w:fldChar w:fldCharType="separate"/>
    </w:r>
    <w:r>
      <w:rPr>
        <w:lang w:val="zh-CN"/>
      </w:rPr>
      <w:t>5</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rPr>
    </w:pPr>
    <w:r>
      <w:fldChar w:fldCharType="begin"/>
    </w:r>
    <w:r>
      <w:instrText xml:space="preserve"> PAGE   \* MERGEFORMAT </w:instrText>
    </w:r>
    <w:r>
      <w:rPr>
        <w:rFonts w:hint="eastAsia"/>
      </w:rPr>
      <w:fldChar w:fldCharType="separate"/>
    </w:r>
    <w:r>
      <w:rPr>
        <w:lang w:val="zh-CN"/>
      </w:rPr>
      <w:t>4</w: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201"/>
  <w:drawingGridVerticalSpacing w:val="245"/>
  <w:displayHorizontalDrawingGridEvery w:val="1"/>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3DEE"/>
    <w:rsid w:val="000006A8"/>
    <w:rsid w:val="0000627F"/>
    <w:rsid w:val="000263BF"/>
    <w:rsid w:val="00060246"/>
    <w:rsid w:val="00080F0F"/>
    <w:rsid w:val="000946EB"/>
    <w:rsid w:val="000959A7"/>
    <w:rsid w:val="000C7274"/>
    <w:rsid w:val="000D1C96"/>
    <w:rsid w:val="000E084E"/>
    <w:rsid w:val="000E4925"/>
    <w:rsid w:val="000F3821"/>
    <w:rsid w:val="000F60AC"/>
    <w:rsid w:val="00102AC0"/>
    <w:rsid w:val="001069C2"/>
    <w:rsid w:val="00133142"/>
    <w:rsid w:val="001513E0"/>
    <w:rsid w:val="00184339"/>
    <w:rsid w:val="002167FC"/>
    <w:rsid w:val="00217982"/>
    <w:rsid w:val="00225803"/>
    <w:rsid w:val="002262FC"/>
    <w:rsid w:val="002414DA"/>
    <w:rsid w:val="00271F6F"/>
    <w:rsid w:val="002774BF"/>
    <w:rsid w:val="002804E4"/>
    <w:rsid w:val="002A2FDA"/>
    <w:rsid w:val="002E134B"/>
    <w:rsid w:val="002E5158"/>
    <w:rsid w:val="002E7CB4"/>
    <w:rsid w:val="002F629B"/>
    <w:rsid w:val="00317860"/>
    <w:rsid w:val="003219F8"/>
    <w:rsid w:val="00331185"/>
    <w:rsid w:val="00351A6C"/>
    <w:rsid w:val="00351E2E"/>
    <w:rsid w:val="003520F4"/>
    <w:rsid w:val="00371C4F"/>
    <w:rsid w:val="0038033F"/>
    <w:rsid w:val="003A0361"/>
    <w:rsid w:val="003C1DAE"/>
    <w:rsid w:val="003D0EA5"/>
    <w:rsid w:val="003D4F24"/>
    <w:rsid w:val="003E6C70"/>
    <w:rsid w:val="003F29C4"/>
    <w:rsid w:val="003F76FF"/>
    <w:rsid w:val="004004E1"/>
    <w:rsid w:val="004253CB"/>
    <w:rsid w:val="00430EE5"/>
    <w:rsid w:val="00445D0B"/>
    <w:rsid w:val="0045372C"/>
    <w:rsid w:val="00454C7D"/>
    <w:rsid w:val="00455374"/>
    <w:rsid w:val="00463657"/>
    <w:rsid w:val="00463E98"/>
    <w:rsid w:val="004917A8"/>
    <w:rsid w:val="00492C11"/>
    <w:rsid w:val="00497F6B"/>
    <w:rsid w:val="004A400E"/>
    <w:rsid w:val="004C4E85"/>
    <w:rsid w:val="004D2DD3"/>
    <w:rsid w:val="00515292"/>
    <w:rsid w:val="00516BD9"/>
    <w:rsid w:val="005176C4"/>
    <w:rsid w:val="00537436"/>
    <w:rsid w:val="00546BEF"/>
    <w:rsid w:val="00570933"/>
    <w:rsid w:val="005B4C76"/>
    <w:rsid w:val="005B7C87"/>
    <w:rsid w:val="005C3D87"/>
    <w:rsid w:val="005C5EB9"/>
    <w:rsid w:val="005D6AFD"/>
    <w:rsid w:val="005E5B23"/>
    <w:rsid w:val="005F4143"/>
    <w:rsid w:val="00610003"/>
    <w:rsid w:val="006227C6"/>
    <w:rsid w:val="00625A25"/>
    <w:rsid w:val="00625AD3"/>
    <w:rsid w:val="00633AB7"/>
    <w:rsid w:val="00647BBC"/>
    <w:rsid w:val="00680E0D"/>
    <w:rsid w:val="006811B3"/>
    <w:rsid w:val="0068479D"/>
    <w:rsid w:val="0069371A"/>
    <w:rsid w:val="006B0DAC"/>
    <w:rsid w:val="006B30DE"/>
    <w:rsid w:val="006D148B"/>
    <w:rsid w:val="006D1F75"/>
    <w:rsid w:val="006D3359"/>
    <w:rsid w:val="006E1D71"/>
    <w:rsid w:val="0072000B"/>
    <w:rsid w:val="00724ECE"/>
    <w:rsid w:val="00734007"/>
    <w:rsid w:val="00781051"/>
    <w:rsid w:val="007829F2"/>
    <w:rsid w:val="00787854"/>
    <w:rsid w:val="007C2FDE"/>
    <w:rsid w:val="007C6FA1"/>
    <w:rsid w:val="007D15CD"/>
    <w:rsid w:val="007E3453"/>
    <w:rsid w:val="0081210B"/>
    <w:rsid w:val="0082114B"/>
    <w:rsid w:val="008263E0"/>
    <w:rsid w:val="00831F98"/>
    <w:rsid w:val="00850B55"/>
    <w:rsid w:val="008646D9"/>
    <w:rsid w:val="00873415"/>
    <w:rsid w:val="00873BAA"/>
    <w:rsid w:val="008C335B"/>
    <w:rsid w:val="008D5079"/>
    <w:rsid w:val="00910E3B"/>
    <w:rsid w:val="00937E3F"/>
    <w:rsid w:val="00974963"/>
    <w:rsid w:val="00976A35"/>
    <w:rsid w:val="00981FA5"/>
    <w:rsid w:val="0099125E"/>
    <w:rsid w:val="009A5A06"/>
    <w:rsid w:val="009A7ADC"/>
    <w:rsid w:val="00A11FE7"/>
    <w:rsid w:val="00A277D9"/>
    <w:rsid w:val="00A31F28"/>
    <w:rsid w:val="00A41823"/>
    <w:rsid w:val="00A642CD"/>
    <w:rsid w:val="00A645B0"/>
    <w:rsid w:val="00A815E3"/>
    <w:rsid w:val="00AA3FEF"/>
    <w:rsid w:val="00AB5699"/>
    <w:rsid w:val="00AB7B4A"/>
    <w:rsid w:val="00AC3A86"/>
    <w:rsid w:val="00AD2407"/>
    <w:rsid w:val="00AE34ED"/>
    <w:rsid w:val="00AF0DF5"/>
    <w:rsid w:val="00B00EAC"/>
    <w:rsid w:val="00B04FD2"/>
    <w:rsid w:val="00B24610"/>
    <w:rsid w:val="00B77DEA"/>
    <w:rsid w:val="00BB241C"/>
    <w:rsid w:val="00BB356F"/>
    <w:rsid w:val="00BC2ECD"/>
    <w:rsid w:val="00BC3DEE"/>
    <w:rsid w:val="00BD19B4"/>
    <w:rsid w:val="00BE5E6E"/>
    <w:rsid w:val="00BE6D55"/>
    <w:rsid w:val="00BF1EB2"/>
    <w:rsid w:val="00C32D54"/>
    <w:rsid w:val="00C331BE"/>
    <w:rsid w:val="00C5116E"/>
    <w:rsid w:val="00C5506E"/>
    <w:rsid w:val="00C95271"/>
    <w:rsid w:val="00CA188F"/>
    <w:rsid w:val="00CA1ECE"/>
    <w:rsid w:val="00CC3BD9"/>
    <w:rsid w:val="00CC6C5C"/>
    <w:rsid w:val="00CC75B0"/>
    <w:rsid w:val="00CD54F4"/>
    <w:rsid w:val="00CE0FB9"/>
    <w:rsid w:val="00CE70AC"/>
    <w:rsid w:val="00CE7393"/>
    <w:rsid w:val="00D0086B"/>
    <w:rsid w:val="00D1751B"/>
    <w:rsid w:val="00D219BA"/>
    <w:rsid w:val="00D27FC2"/>
    <w:rsid w:val="00D41062"/>
    <w:rsid w:val="00D43E8B"/>
    <w:rsid w:val="00D571FC"/>
    <w:rsid w:val="00D77F6A"/>
    <w:rsid w:val="00D8517D"/>
    <w:rsid w:val="00D87AA5"/>
    <w:rsid w:val="00D9249F"/>
    <w:rsid w:val="00D969AB"/>
    <w:rsid w:val="00DB388C"/>
    <w:rsid w:val="00DC73D0"/>
    <w:rsid w:val="00DD5EC6"/>
    <w:rsid w:val="00DF0D62"/>
    <w:rsid w:val="00DF32DB"/>
    <w:rsid w:val="00E006FE"/>
    <w:rsid w:val="00E02AAC"/>
    <w:rsid w:val="00E26CBE"/>
    <w:rsid w:val="00E33952"/>
    <w:rsid w:val="00E519B1"/>
    <w:rsid w:val="00E531EE"/>
    <w:rsid w:val="00EA1223"/>
    <w:rsid w:val="00EA618C"/>
    <w:rsid w:val="00EA6DA9"/>
    <w:rsid w:val="00EC515C"/>
    <w:rsid w:val="00ED3383"/>
    <w:rsid w:val="00EE5D4F"/>
    <w:rsid w:val="00EF5F50"/>
    <w:rsid w:val="00F14735"/>
    <w:rsid w:val="00F22421"/>
    <w:rsid w:val="00F414BA"/>
    <w:rsid w:val="00F52C79"/>
    <w:rsid w:val="00F53F09"/>
    <w:rsid w:val="00F6391A"/>
    <w:rsid w:val="00F773D5"/>
    <w:rsid w:val="00F80A17"/>
    <w:rsid w:val="00F871A9"/>
    <w:rsid w:val="00FA57EA"/>
    <w:rsid w:val="00FA7E50"/>
    <w:rsid w:val="00FB03C0"/>
    <w:rsid w:val="00FD7BA5"/>
    <w:rsid w:val="00FE15D7"/>
    <w:rsid w:val="00FE6876"/>
    <w:rsid w:val="01CA4192"/>
    <w:rsid w:val="04467D92"/>
    <w:rsid w:val="09B61534"/>
    <w:rsid w:val="103F598D"/>
    <w:rsid w:val="23CF38CC"/>
    <w:rsid w:val="242F30CC"/>
    <w:rsid w:val="2F2D7022"/>
    <w:rsid w:val="300413ED"/>
    <w:rsid w:val="34A5496B"/>
    <w:rsid w:val="35A02356"/>
    <w:rsid w:val="369E3D02"/>
    <w:rsid w:val="38BE4EA5"/>
    <w:rsid w:val="39A054EF"/>
    <w:rsid w:val="3A6677DF"/>
    <w:rsid w:val="418C5269"/>
    <w:rsid w:val="41C52874"/>
    <w:rsid w:val="42297F07"/>
    <w:rsid w:val="42C159A0"/>
    <w:rsid w:val="439C027C"/>
    <w:rsid w:val="44454157"/>
    <w:rsid w:val="46B04EE6"/>
    <w:rsid w:val="4E5A2C32"/>
    <w:rsid w:val="4EB35BC7"/>
    <w:rsid w:val="51E80D70"/>
    <w:rsid w:val="5320667A"/>
    <w:rsid w:val="55292147"/>
    <w:rsid w:val="593A4AEF"/>
    <w:rsid w:val="5B94025A"/>
    <w:rsid w:val="5BC36839"/>
    <w:rsid w:val="5C3E76E6"/>
    <w:rsid w:val="5D061A48"/>
    <w:rsid w:val="5E16407F"/>
    <w:rsid w:val="6DD42FE0"/>
    <w:rsid w:val="72134C97"/>
    <w:rsid w:val="74B701BC"/>
    <w:rsid w:val="76FA2C30"/>
    <w:rsid w:val="79B602D0"/>
    <w:rsid w:val="7A957CCD"/>
    <w:rsid w:val="7C7620C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1"/>
    <w:uiPriority w:val="0"/>
    <w:rPr>
      <w:rFonts w:ascii="宋体" w:hAnsi="Courier New" w:cs="Courier New"/>
      <w:szCs w:val="21"/>
    </w:rPr>
  </w:style>
  <w:style w:type="paragraph" w:styleId="3">
    <w:name w:val="footer"/>
    <w:basedOn w:val="1"/>
    <w:link w:val="13"/>
    <w:qFormat/>
    <w:uiPriority w:val="99"/>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iPriority w:val="0"/>
    <w:pPr>
      <w:widowControl/>
      <w:jc w:val="left"/>
    </w:pPr>
    <w:rPr>
      <w:rFonts w:ascii="Arial Narrow" w:hAnsi="Arial Narrow" w:cs="宋体"/>
      <w:kern w:val="0"/>
      <w:sz w:val="18"/>
      <w:szCs w:val="18"/>
    </w:rPr>
  </w:style>
  <w:style w:type="paragraph" w:customStyle="1" w:styleId="8">
    <w:name w:val="Char"/>
    <w:basedOn w:val="1"/>
    <w:uiPriority w:val="0"/>
    <w:pPr>
      <w:widowControl/>
      <w:spacing w:after="160" w:line="240" w:lineRule="exact"/>
      <w:jc w:val="left"/>
    </w:pPr>
    <w:rPr>
      <w:rFonts w:ascii="Verdana" w:hAnsi="Verdana" w:eastAsia="仿宋_GB2312"/>
      <w:kern w:val="0"/>
      <w:sz w:val="24"/>
      <w:szCs w:val="20"/>
      <w:lang w:eastAsia="en-US"/>
    </w:rPr>
  </w:style>
  <w:style w:type="paragraph" w:customStyle="1" w:styleId="9">
    <w:name w:val="plain text"/>
    <w:basedOn w:val="1"/>
    <w:link w:val="12"/>
    <w:uiPriority w:val="99"/>
    <w:rPr>
      <w:rFonts w:ascii="宋体" w:hAnsi="Courier New" w:cs="Courier New"/>
      <w:szCs w:val="21"/>
    </w:rPr>
  </w:style>
  <w:style w:type="paragraph" w:customStyle="1" w:styleId="10">
    <w:name w:val="p0"/>
    <w:basedOn w:val="1"/>
    <w:qFormat/>
    <w:uiPriority w:val="0"/>
    <w:pPr>
      <w:widowControl/>
    </w:pPr>
    <w:rPr>
      <w:kern w:val="0"/>
      <w:szCs w:val="20"/>
    </w:rPr>
  </w:style>
  <w:style w:type="character" w:customStyle="1" w:styleId="11">
    <w:name w:val="纯文本 Char"/>
    <w:basedOn w:val="6"/>
    <w:link w:val="2"/>
    <w:uiPriority w:val="0"/>
    <w:rPr>
      <w:rFonts w:ascii="宋体" w:hAnsi="Courier New" w:eastAsia="宋体" w:cs="Courier New"/>
      <w:kern w:val="2"/>
      <w:sz w:val="21"/>
      <w:szCs w:val="21"/>
      <w:lang w:val="en-US" w:eastAsia="zh-CN" w:bidi="ar-SA"/>
    </w:rPr>
  </w:style>
  <w:style w:type="character" w:customStyle="1" w:styleId="12">
    <w:name w:val="纯文本 Char Char Char"/>
    <w:basedOn w:val="6"/>
    <w:link w:val="9"/>
    <w:uiPriority w:val="0"/>
    <w:rPr>
      <w:rFonts w:ascii="宋体" w:hAnsi="Courier New" w:cs="Courier New"/>
      <w:kern w:val="2"/>
      <w:sz w:val="21"/>
      <w:szCs w:val="21"/>
    </w:rPr>
  </w:style>
  <w:style w:type="character" w:customStyle="1" w:styleId="13">
    <w:name w:val="页脚 Char"/>
    <w:basedOn w:val="6"/>
    <w:link w:val="3"/>
    <w:uiPriority w:val="99"/>
    <w:rPr>
      <w:kern w:val="2"/>
      <w:sz w:val="18"/>
      <w:szCs w:val="24"/>
    </w:rPr>
  </w:style>
  <w:style w:type="character" w:customStyle="1" w:styleId="14">
    <w:name w:val="纯文本 Char1"/>
    <w:basedOn w:val="6"/>
    <w:qFormat/>
    <w:uiPriority w:val="0"/>
    <w:rPr>
      <w:rFonts w:ascii="宋体" w:hAnsi="Courier New" w:eastAsia="宋体"/>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5</Pages>
  <Words>337</Words>
  <Characters>1923</Characters>
  <Lines>16</Lines>
  <Paragraphs>4</Paragraphs>
  <TotalTime>0</TotalTime>
  <ScaleCrop>false</ScaleCrop>
  <LinksUpToDate>false</LinksUpToDate>
  <CharactersWithSpaces>2256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2016-09-20T09:17:00Z</dcterms:created>
  <dc:creator>FreeUser</dc:creator>
  <cp:lastModifiedBy>TF-PC</cp:lastModifiedBy>
  <cp:lastPrinted>2017-10-20T01:52:00Z</cp:lastPrinted>
  <dcterms:modified xsi:type="dcterms:W3CDTF">2018-08-27T09:42:01Z</dcterms:modified>
  <dc:title>阅   卷  笔  录</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