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center"/>
        <w:rPr>
          <w:rFonts w:ascii="楷体" w:hAnsi="楷体" w:eastAsia="楷体" w:cs="宋体"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 w:cs="宋体"/>
          <w:color w:val="000000"/>
          <w:kern w:val="0"/>
          <w:sz w:val="44"/>
          <w:szCs w:val="44"/>
        </w:rPr>
        <w:t>天津市河西区人民法院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ascii="黑体" w:hAnsi="黑体" w:eastAsia="黑体"/>
          <w:color w:val="000000"/>
          <w:kern w:val="0"/>
          <w:sz w:val="52"/>
          <w:szCs w:val="52"/>
        </w:rPr>
      </w:pPr>
      <w:r>
        <w:rPr>
          <w:rFonts w:hint="eastAsia" w:ascii="黑体" w:hAnsi="黑体" w:eastAsia="黑体"/>
          <w:color w:val="000000"/>
          <w:kern w:val="0"/>
          <w:sz w:val="52"/>
          <w:szCs w:val="52"/>
        </w:rPr>
        <w:t>刑 事 判 决 书</w:t>
      </w:r>
    </w:p>
    <w:p>
      <w:pPr>
        <w:spacing w:line="500" w:lineRule="exact"/>
        <w:ind w:right="175"/>
        <w:rPr>
          <w:rFonts w:hint="eastAsia" w:ascii="仿宋" w:hAnsi="仿宋" w:eastAsia="仿宋"/>
          <w:color w:val="000000"/>
          <w:kern w:val="0"/>
          <w:sz w:val="32"/>
          <w:szCs w:val="32"/>
        </w:rPr>
      </w:pPr>
    </w:p>
    <w:p>
      <w:pPr>
        <w:spacing w:line="500" w:lineRule="exact"/>
        <w:ind w:right="175"/>
        <w:jc w:val="right"/>
        <w:rPr>
          <w:rFonts w:eastAsia="仿宋"/>
          <w:sz w:val="32"/>
          <w:szCs w:val="32"/>
        </w:rPr>
      </w:pPr>
      <w:r>
        <w:rPr>
          <w:rFonts w:ascii="仿宋" w:hAnsi="仿宋" w:eastAsia="仿宋"/>
          <w:color w:val="000000"/>
          <w:kern w:val="0"/>
          <w:sz w:val="32"/>
          <w:szCs w:val="32"/>
        </w:rPr>
        <w:t xml:space="preserve">      </w:t>
      </w:r>
      <w:r>
        <w:rPr>
          <w:rFonts w:hAnsi="仿宋" w:eastAsia="仿宋"/>
          <w:sz w:val="32"/>
          <w:szCs w:val="32"/>
        </w:rPr>
        <w:t>（</w:t>
      </w:r>
      <w:r>
        <w:rPr>
          <w:rFonts w:eastAsia="仿宋"/>
          <w:sz w:val="32"/>
          <w:szCs w:val="32"/>
        </w:rPr>
        <w:t>201</w:t>
      </w:r>
      <w:r>
        <w:rPr>
          <w:rFonts w:hint="eastAsia" w:eastAsia="仿宋"/>
          <w:sz w:val="32"/>
          <w:szCs w:val="32"/>
        </w:rPr>
        <w:t>7</w:t>
      </w:r>
      <w:r>
        <w:rPr>
          <w:rFonts w:hAnsi="仿宋" w:eastAsia="仿宋"/>
          <w:sz w:val="32"/>
          <w:szCs w:val="32"/>
        </w:rPr>
        <w:t>）津</w:t>
      </w:r>
      <w:r>
        <w:rPr>
          <w:rFonts w:eastAsia="仿宋"/>
          <w:sz w:val="32"/>
          <w:szCs w:val="32"/>
        </w:rPr>
        <w:t>0103</w:t>
      </w:r>
      <w:r>
        <w:rPr>
          <w:rFonts w:hAnsi="仿宋" w:eastAsia="仿宋"/>
          <w:sz w:val="32"/>
          <w:szCs w:val="32"/>
        </w:rPr>
        <w:t>刑初</w:t>
      </w:r>
      <w:r>
        <w:rPr>
          <w:rFonts w:hint="eastAsia" w:eastAsia="仿宋"/>
          <w:sz w:val="32"/>
          <w:szCs w:val="32"/>
        </w:rPr>
        <w:t>515</w:t>
      </w:r>
      <w:r>
        <w:rPr>
          <w:rFonts w:hAnsi="仿宋" w:eastAsia="仿宋"/>
          <w:sz w:val="32"/>
          <w:szCs w:val="32"/>
        </w:rPr>
        <w:t>号</w:t>
      </w:r>
    </w:p>
    <w:p>
      <w:pPr>
        <w:spacing w:line="500" w:lineRule="exact"/>
        <w:rPr>
          <w:rFonts w:hint="eastAsia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ascii="仿宋" w:hAnsi="仿宋" w:eastAsia="仿宋"/>
          <w:sz w:val="32"/>
          <w:szCs w:val="30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ascii="仿宋" w:hAnsi="仿宋" w:eastAsia="仿宋"/>
          <w:sz w:val="32"/>
          <w:szCs w:val="30"/>
        </w:rPr>
        <w:t>被告人</w:t>
      </w:r>
      <w:r>
        <w:rPr>
          <w:rFonts w:hint="eastAsia" w:ascii="仿宋" w:hAnsi="仿宋" w:eastAsia="仿宋" w:cs="宋体"/>
          <w:sz w:val="32"/>
          <w:szCs w:val="30"/>
        </w:rPr>
        <w:t>张荔，男，1977年11月7日出生于天津市和平区，公民身份号码120104197711074736，汉族，中专文化，天津市久爱印象广告传媒有限公司市场部经理，住天津市南开区盈江路盈江里10号楼4门104号。2017年2月27日被刑事拘留，2017年3月6日因涉嫌犯有信用卡诈骗罪被取保候审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天津市河西区人民检察院以津西检公诉刑诉[2017]504号起诉书指控被告人张荔犯信用卡诈骗罪，于2017年9月5日向本院提起公诉，并提出量刑建议。本院依法组成合议庭，公开开庭审理了本案。天津市河西区人民检察院指派代理检察员隋立伟出庭支持公诉，被告人张荔到庭参加了诉讼。现已审理终结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经审理查明，2004年4月6日，被告人张荔从招商银行股份有限公司信用卡中心（以下简称招商银行）申领信用卡一张，卡号为4392258600499737，后被告人张荔使用该卡透支消费。2015年3月该卡到期后，卡号更换为4392268329743919。2016年2月4日，被告人张荔最后一次有效还款人民币7300元后未再进行有效还款。经发卡银行多次电话、短信催收拒不还款。截至2016年12月9日，被告人张荔使用该卡共透支本金人民币65141.7元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2017年2月26日，被告人张荔主动到公安机关接受调查。2017年3月3日，被告人张荔</w:t>
      </w:r>
      <w:r>
        <w:rPr>
          <w:rFonts w:hint="eastAsia" w:ascii="仿宋" w:hAnsi="仿宋" w:eastAsia="仿宋"/>
          <w:sz w:val="32"/>
          <w:szCs w:val="30"/>
        </w:rPr>
        <w:t>向招商银行退还了全部欠款</w:t>
      </w:r>
      <w:r>
        <w:rPr>
          <w:rFonts w:ascii="仿宋" w:hAnsi="仿宋" w:eastAsia="仿宋"/>
          <w:sz w:val="32"/>
          <w:szCs w:val="30"/>
        </w:rPr>
        <w:t>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上述事实，被告人张荔在开庭审理过程中无异议，且表示认罪，并有被害单位招商银行委托代理人徐某的陈述，信用卡照片，招商银行报案材料、信用卡申请材料、信用卡银行账户明细、催收记录、被告人张荔个人信用报告、招商银行出具的情况说明、还款证明等书证以及到案经过等证据予以证实，足以认定。</w:t>
      </w:r>
    </w:p>
    <w:p>
      <w:pPr>
        <w:spacing w:line="500" w:lineRule="exact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 xml:space="preserve">    本院认为，被告人张荔以非法占有为目的，使用信用卡恶意透支人民币65141.7元，数额较大，其行为已构成信用卡诈骗罪。天津市河西区人民检察院指控被告人张荔犯信用卡诈骗罪，事实清楚，证据充分，罪名成立，本院予以支持。被告人张荔主动到公安机关接受调查，并如实供述自己的犯罪事实，系自首，依法予以从轻处罚。案发后，被告人张荔已偿还银行全部欠款本息，酌情予以从轻处罚。为严肃国家法律，维护金融秩序，同时考虑被告人的犯罪情节及悔罪表现，依照《中华人民共和国刑法》第一百九十六条第一款第（四）项、第二款，第六十七条第一款，第七十二条，第七十三条二款、第三款，第七十五条，第七十六条之规定，判决如下：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一、被告人张荔犯信用卡诈骗罪，判处有期徒刑一年六个月，缓刑一年六个月，并处罚金人民币二万元。在缓刑考验期限内，依法实行社区矫正。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（缓刑考验期限，从判决确定之日起计算）</w:t>
      </w:r>
    </w:p>
    <w:p>
      <w:pPr>
        <w:pStyle w:val="2"/>
        <w:spacing w:line="500" w:lineRule="exact"/>
        <w:ind w:left="-2" w:leftChars="-1"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二、</w:t>
      </w:r>
      <w:r>
        <w:rPr>
          <w:rFonts w:ascii="仿宋" w:hAnsi="仿宋" w:eastAsia="仿宋"/>
          <w:sz w:val="32"/>
          <w:szCs w:val="32"/>
        </w:rPr>
        <w:t>禁止被告人</w:t>
      </w:r>
      <w:r>
        <w:rPr>
          <w:rFonts w:hint="eastAsia" w:ascii="仿宋" w:hAnsi="仿宋" w:eastAsia="仿宋"/>
          <w:kern w:val="0"/>
          <w:sz w:val="32"/>
          <w:szCs w:val="32"/>
        </w:rPr>
        <w:t>张荔</w:t>
      </w:r>
      <w:r>
        <w:rPr>
          <w:rFonts w:ascii="仿宋" w:hAnsi="仿宋" w:eastAsia="仿宋"/>
          <w:sz w:val="32"/>
          <w:szCs w:val="32"/>
        </w:rPr>
        <w:t>在缓刑期间从事金融借贷及与金融相关的担保活动</w:t>
      </w:r>
      <w:r>
        <w:rPr>
          <w:rFonts w:hint="eastAsia" w:ascii="仿宋" w:hAnsi="仿宋" w:eastAsia="仿宋" w:cs="Times New Roman"/>
          <w:sz w:val="32"/>
          <w:szCs w:val="32"/>
        </w:rPr>
        <w:t>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  <w:r>
        <w:rPr>
          <w:rFonts w:hint="eastAsia" w:ascii="仿宋" w:hAnsi="仿宋" w:eastAsia="仿宋" w:cs="宋体"/>
          <w:sz w:val="32"/>
          <w:szCs w:val="30"/>
        </w:rPr>
        <w:t>如不服本判决，可在接到判决书的第二日起十日内，通过本院或者直接向天津市第二中级人民法院提出上诉。书面上诉的，应提交上诉状正本一份，副本二份。</w:t>
      </w:r>
    </w:p>
    <w:p>
      <w:pPr>
        <w:spacing w:line="500" w:lineRule="exact"/>
        <w:ind w:firstLine="640" w:firstLineChars="200"/>
        <w:rPr>
          <w:rFonts w:hint="eastAsia" w:ascii="仿宋" w:hAnsi="仿宋" w:eastAsia="仿宋" w:cs="宋体"/>
          <w:sz w:val="32"/>
          <w:szCs w:val="30"/>
        </w:rPr>
      </w:pP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审  判  长    刘  毅</w:t>
      </w:r>
    </w:p>
    <w:p>
      <w:pPr>
        <w:wordWrap w:val="0"/>
        <w:spacing w:line="500" w:lineRule="exact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  审  判  员    果  健                               人民陪审员    葛海云         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二○一七年十月十三日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wordWrap w:val="0"/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书  记  员    时  光</w:t>
      </w:r>
    </w:p>
    <w:p>
      <w:pPr>
        <w:spacing w:line="500" w:lineRule="exact"/>
        <w:ind w:right="18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速  录  员    杨梦萱</w:t>
      </w: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_GB2312" w:eastAsia="仿宋"/>
          <w:sz w:val="32"/>
        </w:rPr>
        <w:t>《</w:t>
      </w:r>
      <w:r>
        <w:rPr>
          <w:rFonts w:hint="eastAsia" w:ascii="仿宋" w:hAnsi="仿宋" w:eastAsia="仿宋"/>
          <w:sz w:val="32"/>
          <w:szCs w:val="30"/>
        </w:rPr>
        <w:t>中华人民共和国刑法》</w:t>
      </w:r>
    </w:p>
    <w:p>
      <w:pPr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被采取强制措施的犯罪嫌疑人、被告人和正在服刑的罪犯，如实供述司法机关还未掌握的本人其他罪行的，以自首论。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第七十二条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（二）有悔罪表现；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第七十三条   拘役的缓刑考验期限为原判刑期以上，一年以下，但是不能少于二个月。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 xml:space="preserve">第一百九十六条  </w:t>
      </w:r>
      <w:r>
        <w:rPr>
          <w:rFonts w:ascii="仿宋" w:hAnsi="仿宋" w:eastAsia="仿宋"/>
          <w:sz w:val="32"/>
          <w:szCs w:val="30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" w:hAnsi="仿宋" w:eastAsia="仿宋"/>
          <w:sz w:val="32"/>
          <w:szCs w:val="30"/>
        </w:rPr>
        <w:br w:type="textWrapping"/>
      </w:r>
      <w:r>
        <w:rPr>
          <w:rFonts w:ascii="仿宋" w:hAnsi="仿宋" w:eastAsia="仿宋"/>
          <w:sz w:val="32"/>
          <w:szCs w:val="30"/>
        </w:rPr>
        <w:t>　　（一）使用伪造的信用卡，或者使用以虚假的身份证明骗领的信用卡的；</w:t>
      </w:r>
      <w:r>
        <w:rPr>
          <w:rFonts w:ascii="仿宋" w:hAnsi="仿宋" w:eastAsia="仿宋"/>
          <w:sz w:val="32"/>
          <w:szCs w:val="30"/>
        </w:rPr>
        <w:br w:type="textWrapping"/>
      </w:r>
      <w:r>
        <w:rPr>
          <w:rFonts w:ascii="仿宋" w:hAnsi="仿宋" w:eastAsia="仿宋"/>
          <w:sz w:val="32"/>
          <w:szCs w:val="30"/>
        </w:rPr>
        <w:t>　　（二）使用作废的信用卡的；</w:t>
      </w:r>
      <w:r>
        <w:rPr>
          <w:rFonts w:ascii="仿宋" w:hAnsi="仿宋" w:eastAsia="仿宋"/>
          <w:sz w:val="32"/>
          <w:szCs w:val="30"/>
        </w:rPr>
        <w:br w:type="textWrapping"/>
      </w:r>
      <w:r>
        <w:rPr>
          <w:rFonts w:ascii="仿宋" w:hAnsi="仿宋" w:eastAsia="仿宋"/>
          <w:sz w:val="32"/>
          <w:szCs w:val="30"/>
        </w:rPr>
        <w:t>　　（三）冒用他人信用卡的；</w:t>
      </w:r>
      <w:r>
        <w:rPr>
          <w:rFonts w:ascii="仿宋" w:hAnsi="仿宋" w:eastAsia="仿宋"/>
          <w:sz w:val="32"/>
          <w:szCs w:val="30"/>
        </w:rPr>
        <w:br w:type="textWrapping"/>
      </w:r>
      <w:r>
        <w:rPr>
          <w:rFonts w:ascii="仿宋" w:hAnsi="仿宋" w:eastAsia="仿宋"/>
          <w:sz w:val="32"/>
          <w:szCs w:val="30"/>
        </w:rPr>
        <w:t>　　（四）恶意透支的。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0"/>
        </w:rPr>
      </w:pPr>
      <w:r>
        <w:rPr>
          <w:rFonts w:hint="eastAsia" w:ascii="仿宋" w:hAnsi="仿宋" w:eastAsia="仿宋"/>
          <w:sz w:val="32"/>
          <w:szCs w:val="30"/>
        </w:rPr>
        <w:t>盗窃信用卡并使用的，依照本法第二百六十四条的规定定罪处罚。</w:t>
      </w:r>
    </w:p>
    <w:p>
      <w:pPr>
        <w:ind w:firstLine="640" w:firstLineChars="200"/>
        <w:rPr>
          <w:rFonts w:ascii="仿宋" w:hAnsi="仿宋" w:eastAsia="仿宋"/>
          <w:sz w:val="32"/>
          <w:szCs w:val="30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0"/>
        </w:rPr>
      </w:pPr>
    </w:p>
    <w:p>
      <w:pPr>
        <w:ind w:firstLine="640" w:firstLineChars="200"/>
        <w:rPr>
          <w:rFonts w:ascii="仿宋" w:hAnsi="仿宋" w:eastAsia="仿宋"/>
          <w:sz w:val="32"/>
          <w:szCs w:val="30"/>
        </w:rPr>
      </w:pPr>
    </w:p>
    <w:p>
      <w:pPr>
        <w:rPr>
          <w:rFonts w:hint="eastAsia" w:ascii="仿宋" w:hAnsi="仿宋" w:eastAsia="仿宋"/>
          <w:sz w:val="32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3E65"/>
    <w:rsid w:val="0000722F"/>
    <w:rsid w:val="00010B97"/>
    <w:rsid w:val="00025F9E"/>
    <w:rsid w:val="000532A1"/>
    <w:rsid w:val="000559F9"/>
    <w:rsid w:val="00061BCB"/>
    <w:rsid w:val="00065245"/>
    <w:rsid w:val="00082DFE"/>
    <w:rsid w:val="000837D9"/>
    <w:rsid w:val="00087B10"/>
    <w:rsid w:val="000A6A26"/>
    <w:rsid w:val="000B204C"/>
    <w:rsid w:val="000C79D8"/>
    <w:rsid w:val="000D4D5E"/>
    <w:rsid w:val="0013327E"/>
    <w:rsid w:val="00164E7B"/>
    <w:rsid w:val="0017429C"/>
    <w:rsid w:val="001908D2"/>
    <w:rsid w:val="001B3522"/>
    <w:rsid w:val="001B4104"/>
    <w:rsid w:val="001C162B"/>
    <w:rsid w:val="001D45DB"/>
    <w:rsid w:val="001E0D10"/>
    <w:rsid w:val="001E48E7"/>
    <w:rsid w:val="001F50B5"/>
    <w:rsid w:val="00227178"/>
    <w:rsid w:val="00227A0F"/>
    <w:rsid w:val="002309AC"/>
    <w:rsid w:val="00235377"/>
    <w:rsid w:val="0025441A"/>
    <w:rsid w:val="00286A47"/>
    <w:rsid w:val="002A57D4"/>
    <w:rsid w:val="002E04B9"/>
    <w:rsid w:val="002E6A68"/>
    <w:rsid w:val="002E7E3A"/>
    <w:rsid w:val="00301AF1"/>
    <w:rsid w:val="00312002"/>
    <w:rsid w:val="00317BF7"/>
    <w:rsid w:val="003272D1"/>
    <w:rsid w:val="003377A0"/>
    <w:rsid w:val="003470BD"/>
    <w:rsid w:val="0037559D"/>
    <w:rsid w:val="00376790"/>
    <w:rsid w:val="00395716"/>
    <w:rsid w:val="003B3E65"/>
    <w:rsid w:val="003E41C0"/>
    <w:rsid w:val="00405338"/>
    <w:rsid w:val="004217DA"/>
    <w:rsid w:val="00433E21"/>
    <w:rsid w:val="0044109E"/>
    <w:rsid w:val="00443E8E"/>
    <w:rsid w:val="004702E7"/>
    <w:rsid w:val="00471FB1"/>
    <w:rsid w:val="00480653"/>
    <w:rsid w:val="004934B4"/>
    <w:rsid w:val="004B1BED"/>
    <w:rsid w:val="004C5AEA"/>
    <w:rsid w:val="004C77C7"/>
    <w:rsid w:val="004E0496"/>
    <w:rsid w:val="004F1428"/>
    <w:rsid w:val="0050063A"/>
    <w:rsid w:val="0054147C"/>
    <w:rsid w:val="0054326D"/>
    <w:rsid w:val="0056081B"/>
    <w:rsid w:val="005712C0"/>
    <w:rsid w:val="00582840"/>
    <w:rsid w:val="00583BB2"/>
    <w:rsid w:val="005A1732"/>
    <w:rsid w:val="005A3AC5"/>
    <w:rsid w:val="005B39D2"/>
    <w:rsid w:val="005B56B0"/>
    <w:rsid w:val="005C2E60"/>
    <w:rsid w:val="005C5648"/>
    <w:rsid w:val="005E7E91"/>
    <w:rsid w:val="005F0853"/>
    <w:rsid w:val="005F5497"/>
    <w:rsid w:val="00606CBA"/>
    <w:rsid w:val="0061415F"/>
    <w:rsid w:val="00615986"/>
    <w:rsid w:val="00616460"/>
    <w:rsid w:val="0064427F"/>
    <w:rsid w:val="00645660"/>
    <w:rsid w:val="00654B55"/>
    <w:rsid w:val="00665C1E"/>
    <w:rsid w:val="00680F52"/>
    <w:rsid w:val="00681248"/>
    <w:rsid w:val="006A4886"/>
    <w:rsid w:val="006A52AC"/>
    <w:rsid w:val="006B0A7B"/>
    <w:rsid w:val="006B7847"/>
    <w:rsid w:val="006F0495"/>
    <w:rsid w:val="006F18BD"/>
    <w:rsid w:val="006F72CD"/>
    <w:rsid w:val="00705245"/>
    <w:rsid w:val="007057DD"/>
    <w:rsid w:val="00706F76"/>
    <w:rsid w:val="00713069"/>
    <w:rsid w:val="0071542B"/>
    <w:rsid w:val="007170F0"/>
    <w:rsid w:val="00732BD6"/>
    <w:rsid w:val="00733126"/>
    <w:rsid w:val="0074405B"/>
    <w:rsid w:val="007565A0"/>
    <w:rsid w:val="00757951"/>
    <w:rsid w:val="00766991"/>
    <w:rsid w:val="00770551"/>
    <w:rsid w:val="007912E3"/>
    <w:rsid w:val="00796A96"/>
    <w:rsid w:val="007A109D"/>
    <w:rsid w:val="007A139C"/>
    <w:rsid w:val="007A60B4"/>
    <w:rsid w:val="007C5E61"/>
    <w:rsid w:val="007D24B0"/>
    <w:rsid w:val="007E2FA5"/>
    <w:rsid w:val="007F1385"/>
    <w:rsid w:val="007F2583"/>
    <w:rsid w:val="007F79FB"/>
    <w:rsid w:val="00802DE3"/>
    <w:rsid w:val="0080745D"/>
    <w:rsid w:val="00817CF3"/>
    <w:rsid w:val="00820F0B"/>
    <w:rsid w:val="00820F99"/>
    <w:rsid w:val="008236CD"/>
    <w:rsid w:val="008406DA"/>
    <w:rsid w:val="00843DD1"/>
    <w:rsid w:val="00870677"/>
    <w:rsid w:val="00874D8D"/>
    <w:rsid w:val="00885227"/>
    <w:rsid w:val="00890C79"/>
    <w:rsid w:val="008B040E"/>
    <w:rsid w:val="008C7BAD"/>
    <w:rsid w:val="008D088F"/>
    <w:rsid w:val="008E15C1"/>
    <w:rsid w:val="008E62FB"/>
    <w:rsid w:val="008F1A53"/>
    <w:rsid w:val="00901179"/>
    <w:rsid w:val="00902A0B"/>
    <w:rsid w:val="00903033"/>
    <w:rsid w:val="00914FE8"/>
    <w:rsid w:val="00923BA0"/>
    <w:rsid w:val="00934DA6"/>
    <w:rsid w:val="00944662"/>
    <w:rsid w:val="00953FA2"/>
    <w:rsid w:val="009543BC"/>
    <w:rsid w:val="00980539"/>
    <w:rsid w:val="009840B6"/>
    <w:rsid w:val="00987B65"/>
    <w:rsid w:val="00991B74"/>
    <w:rsid w:val="009A10B6"/>
    <w:rsid w:val="009A5E44"/>
    <w:rsid w:val="009F1241"/>
    <w:rsid w:val="009F290C"/>
    <w:rsid w:val="00A153B1"/>
    <w:rsid w:val="00A25CE1"/>
    <w:rsid w:val="00A31633"/>
    <w:rsid w:val="00A32125"/>
    <w:rsid w:val="00A50034"/>
    <w:rsid w:val="00A669F7"/>
    <w:rsid w:val="00A908F8"/>
    <w:rsid w:val="00AA16E8"/>
    <w:rsid w:val="00AA6648"/>
    <w:rsid w:val="00AA7381"/>
    <w:rsid w:val="00AB6690"/>
    <w:rsid w:val="00AD5803"/>
    <w:rsid w:val="00AE5AA4"/>
    <w:rsid w:val="00AF1AD8"/>
    <w:rsid w:val="00B045C2"/>
    <w:rsid w:val="00B05D42"/>
    <w:rsid w:val="00B2413A"/>
    <w:rsid w:val="00B4199E"/>
    <w:rsid w:val="00B5198C"/>
    <w:rsid w:val="00B634C0"/>
    <w:rsid w:val="00B73C2E"/>
    <w:rsid w:val="00BB0E3B"/>
    <w:rsid w:val="00BB2D91"/>
    <w:rsid w:val="00BB56B3"/>
    <w:rsid w:val="00BB5B3C"/>
    <w:rsid w:val="00BD3A1F"/>
    <w:rsid w:val="00BD6A1C"/>
    <w:rsid w:val="00BE7576"/>
    <w:rsid w:val="00C11441"/>
    <w:rsid w:val="00C154FF"/>
    <w:rsid w:val="00C33F3A"/>
    <w:rsid w:val="00C352E6"/>
    <w:rsid w:val="00C55C6A"/>
    <w:rsid w:val="00C61B0C"/>
    <w:rsid w:val="00C70497"/>
    <w:rsid w:val="00C729C4"/>
    <w:rsid w:val="00CB0229"/>
    <w:rsid w:val="00CB0328"/>
    <w:rsid w:val="00CB3AAA"/>
    <w:rsid w:val="00CC064F"/>
    <w:rsid w:val="00CD7C59"/>
    <w:rsid w:val="00CF609C"/>
    <w:rsid w:val="00D27F6F"/>
    <w:rsid w:val="00D477CB"/>
    <w:rsid w:val="00D5191E"/>
    <w:rsid w:val="00D70A92"/>
    <w:rsid w:val="00D75009"/>
    <w:rsid w:val="00D84378"/>
    <w:rsid w:val="00D873F5"/>
    <w:rsid w:val="00DB4D0F"/>
    <w:rsid w:val="00DC28CF"/>
    <w:rsid w:val="00DD7E92"/>
    <w:rsid w:val="00E21986"/>
    <w:rsid w:val="00E232B4"/>
    <w:rsid w:val="00E309B6"/>
    <w:rsid w:val="00E31B2D"/>
    <w:rsid w:val="00E32BFA"/>
    <w:rsid w:val="00E42C0C"/>
    <w:rsid w:val="00E451AE"/>
    <w:rsid w:val="00E50805"/>
    <w:rsid w:val="00EA35A9"/>
    <w:rsid w:val="00EC09C8"/>
    <w:rsid w:val="00ED551B"/>
    <w:rsid w:val="00EE3455"/>
    <w:rsid w:val="00EF0BF1"/>
    <w:rsid w:val="00EF63F3"/>
    <w:rsid w:val="00F16E0C"/>
    <w:rsid w:val="00F23EE2"/>
    <w:rsid w:val="00F27DBF"/>
    <w:rsid w:val="00F30C64"/>
    <w:rsid w:val="00F444FD"/>
    <w:rsid w:val="00F4535B"/>
    <w:rsid w:val="00F51DAF"/>
    <w:rsid w:val="00F641B3"/>
    <w:rsid w:val="00F75D13"/>
    <w:rsid w:val="00F77461"/>
    <w:rsid w:val="00F84E49"/>
    <w:rsid w:val="00F912FE"/>
    <w:rsid w:val="00F969C2"/>
    <w:rsid w:val="00FD2F3A"/>
    <w:rsid w:val="00FE1B71"/>
    <w:rsid w:val="00FE3DE4"/>
    <w:rsid w:val="00FE719B"/>
    <w:rsid w:val="00FF0869"/>
    <w:rsid w:val="37AF3E34"/>
    <w:rsid w:val="407C0702"/>
    <w:rsid w:val="60800ED4"/>
    <w:rsid w:val="67F45F0E"/>
    <w:rsid w:val="7DEF76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Date"/>
    <w:basedOn w:val="1"/>
    <w:next w:val="1"/>
    <w:link w:val="11"/>
    <w:uiPriority w:val="0"/>
    <w:pPr>
      <w:ind w:left="100" w:leftChars="25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1">
    <w:name w:val="日期 Char"/>
    <w:basedOn w:val="6"/>
    <w:link w:val="3"/>
    <w:qFormat/>
    <w:uiPriority w:val="0"/>
    <w:rPr>
      <w:kern w:val="2"/>
      <w:sz w:val="21"/>
      <w:szCs w:val="24"/>
    </w:rPr>
  </w:style>
  <w:style w:type="character" w:customStyle="1" w:styleId="12">
    <w:name w:val="纯文本 Char"/>
    <w:basedOn w:val="6"/>
    <w:link w:val="2"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5</Pages>
  <Words>376</Words>
  <Characters>2147</Characters>
  <Lines>17</Lines>
  <Paragraphs>5</Paragraphs>
  <TotalTime>0</TotalTime>
  <ScaleCrop>false</ScaleCrop>
  <LinksUpToDate>false</LinksUpToDate>
  <CharactersWithSpaces>2518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2017-03-22T06:51:00Z</dcterms:created>
  <dc:creator>MC SYSTEM</dc:creator>
  <cp:lastModifiedBy>TF-PC</cp:lastModifiedBy>
  <dcterms:modified xsi:type="dcterms:W3CDTF">2018-08-27T09:42:02Z</dcterms:modified>
  <dc:title>天津市河西区人民法院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