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440" w:lineRule="exact"/>
        <w:jc w:val="center"/>
        <w:rPr>
          <w:rFonts w:hint="eastAsia"/>
        </w:rPr>
      </w:pPr>
      <w:bookmarkStart w:id="0" w:name="_GoBack"/>
      <w:bookmarkEnd w:id="0"/>
      <w:r>
        <w:rPr>
          <w:rFonts w:hint="eastAsia"/>
          <w:sz w:val="44"/>
          <w:szCs w:val="44"/>
        </w:rPr>
        <w:t>天津市宁河区人民法院</w:t>
      </w:r>
    </w:p>
    <w:p>
      <w:pPr>
        <w:autoSpaceDE w:val="0"/>
        <w:autoSpaceDN w:val="0"/>
        <w:adjustRightInd w:val="0"/>
        <w:spacing w:line="440" w:lineRule="exact"/>
        <w:jc w:val="center"/>
        <w:rPr>
          <w:rFonts w:hint="eastAsia" w:ascii="黑体" w:eastAsia="黑体"/>
          <w:b/>
          <w:bCs/>
          <w:sz w:val="44"/>
          <w:szCs w:val="44"/>
        </w:rPr>
      </w:pPr>
      <w:r>
        <w:rPr>
          <w:rFonts w:hint="eastAsia" w:ascii="黑体" w:eastAsia="黑体"/>
          <w:b/>
          <w:bCs/>
          <w:sz w:val="44"/>
          <w:szCs w:val="44"/>
        </w:rPr>
        <w:t>刑   事   判   决   书</w:t>
      </w:r>
    </w:p>
    <w:p>
      <w:pPr>
        <w:autoSpaceDE w:val="0"/>
        <w:autoSpaceDN w:val="0"/>
        <w:adjustRightInd w:val="0"/>
        <w:spacing w:line="440" w:lineRule="exact"/>
        <w:jc w:val="right"/>
        <w:rPr>
          <w:rFonts w:hint="eastAsia"/>
        </w:rPr>
      </w:pPr>
    </w:p>
    <w:p>
      <w:pPr>
        <w:autoSpaceDE w:val="0"/>
        <w:autoSpaceDN w:val="0"/>
        <w:adjustRightInd w:val="0"/>
        <w:spacing w:line="440" w:lineRule="exact"/>
        <w:jc w:val="right"/>
        <w:rPr>
          <w:rFonts w:hint="eastAsia"/>
        </w:rPr>
      </w:pPr>
      <w:r>
        <w:rPr>
          <w:rFonts w:hint="eastAsia"/>
        </w:rPr>
        <w:t xml:space="preserve">(2017)津0117刑初256号 </w:t>
      </w:r>
    </w:p>
    <w:p>
      <w:pPr>
        <w:autoSpaceDE w:val="0"/>
        <w:autoSpaceDN w:val="0"/>
        <w:adjustRightInd w:val="0"/>
        <w:spacing w:line="440" w:lineRule="exact"/>
        <w:jc w:val="left"/>
        <w:rPr>
          <w:rFonts w:hint="eastAsia"/>
        </w:rPr>
      </w:pPr>
    </w:p>
    <w:p>
      <w:pPr>
        <w:autoSpaceDE w:val="0"/>
        <w:autoSpaceDN w:val="0"/>
        <w:adjustRightInd w:val="0"/>
        <w:spacing w:line="360" w:lineRule="auto"/>
        <w:ind w:firstLine="645"/>
        <w:jc w:val="left"/>
        <w:rPr>
          <w:rFonts w:hint="eastAsia"/>
        </w:rPr>
      </w:pPr>
      <w:r>
        <w:rPr>
          <w:rFonts w:hint="eastAsia"/>
        </w:rPr>
        <w:t>公诉机关天津市宁河区人民检察院。</w:t>
      </w:r>
    </w:p>
    <w:p>
      <w:pPr>
        <w:rPr>
          <w:rFonts w:hint="eastAsia" w:hAnsi="仿宋_GB2312" w:cs="仿宋_GB2312"/>
        </w:rPr>
      </w:pPr>
      <w:r>
        <w:rPr>
          <w:rFonts w:hint="eastAsia" w:hAnsi="仿宋_GB2312" w:cs="仿宋_GB2312"/>
        </w:rPr>
        <w:t xml:space="preserve">    被告人王洪平，男，1957年8月16日出生，公民身份</w:t>
      </w:r>
    </w:p>
    <w:p>
      <w:pPr>
        <w:rPr>
          <w:rFonts w:hint="eastAsia" w:hAnsi="仿宋_GB2312" w:cs="仿宋_GB2312"/>
        </w:rPr>
      </w:pPr>
      <w:r>
        <w:rPr>
          <w:rFonts w:hint="eastAsia" w:hAnsi="仿宋_GB2312" w:cs="仿宋_GB2312"/>
        </w:rPr>
        <w:t>号码:120221195708161815，汉族，高中文化，群众，无业，</w:t>
      </w:r>
    </w:p>
    <w:p>
      <w:pPr>
        <w:rPr>
          <w:rFonts w:hint="eastAsia" w:hAnsi="仿宋_GB2312" w:cs="仿宋_GB2312"/>
        </w:rPr>
      </w:pPr>
      <w:r>
        <w:rPr>
          <w:rFonts w:hint="eastAsia" w:hAnsi="仿宋_GB2312" w:cs="仿宋_GB2312"/>
        </w:rPr>
        <w:t>住天津市宁河区芦台镇唐宁里小区10号楼2门201号(户</w:t>
      </w:r>
    </w:p>
    <w:p>
      <w:pPr>
        <w:rPr>
          <w:rFonts w:hint="eastAsia" w:hAnsi="仿宋_GB2312" w:cs="仿宋_GB2312"/>
        </w:rPr>
      </w:pPr>
      <w:r>
        <w:rPr>
          <w:rFonts w:hint="eastAsia" w:hAnsi="仿宋_GB2312" w:cs="仿宋_GB2312"/>
        </w:rPr>
        <w:t>籍地：天津市宁河区芦台镇曙光路晓光楼2幢3单元301号)。</w:t>
      </w:r>
    </w:p>
    <w:p>
      <w:pPr>
        <w:rPr>
          <w:rFonts w:hint="eastAsia" w:hAnsi="仿宋_GB2312" w:cs="仿宋_GB2312"/>
        </w:rPr>
      </w:pPr>
      <w:r>
        <w:rPr>
          <w:rFonts w:hint="eastAsia" w:hAnsi="仿宋_GB2312" w:cs="仿宋_GB2312"/>
        </w:rPr>
        <w:t>2017年3月31日因涉嫌信用卡诈骗罪被天津市公安局宁河</w:t>
      </w:r>
    </w:p>
    <w:p>
      <w:pPr>
        <w:rPr>
          <w:rFonts w:hint="eastAsia" w:hAnsi="仿宋_GB2312" w:cs="仿宋_GB2312"/>
        </w:rPr>
      </w:pPr>
      <w:r>
        <w:rPr>
          <w:rFonts w:hint="eastAsia" w:hAnsi="仿宋_GB2312" w:cs="仿宋_GB2312"/>
        </w:rPr>
        <w:t>分局刑事拘留，同年4月1日被天津市公安局宁河分局取保</w:t>
      </w:r>
    </w:p>
    <w:p>
      <w:pPr>
        <w:rPr>
          <w:rFonts w:hint="eastAsia" w:hAnsi="仿宋_GB2312" w:cs="仿宋_GB2312"/>
        </w:rPr>
      </w:pPr>
      <w:r>
        <w:rPr>
          <w:rFonts w:hint="eastAsia" w:hAnsi="仿宋_GB2312" w:cs="仿宋_GB2312"/>
        </w:rPr>
        <w:t>候审。</w:t>
      </w:r>
    </w:p>
    <w:p>
      <w:pPr>
        <w:rPr>
          <w:rFonts w:hint="eastAsia"/>
        </w:rPr>
      </w:pPr>
      <w:r>
        <w:rPr>
          <w:rFonts w:hint="eastAsia"/>
        </w:rPr>
        <w:t xml:space="preserve">    天津市宁河区人民检察院以津宁检公诉刑诉[2017]272号起诉书指控被告人</w:t>
      </w:r>
      <w:r>
        <w:rPr>
          <w:rFonts w:hint="eastAsia" w:hAnsi="仿宋_GB2312" w:cs="仿宋_GB2312"/>
        </w:rPr>
        <w:t>王洪平</w:t>
      </w:r>
      <w:r>
        <w:rPr>
          <w:rFonts w:hint="eastAsia"/>
        </w:rPr>
        <w:t>犯信用卡诈骗罪。本院依法适用刑事案件速裁程序，公开开庭审理了本案。</w:t>
      </w:r>
    </w:p>
    <w:p>
      <w:pPr>
        <w:rPr>
          <w:rFonts w:hint="eastAsia" w:hAnsi="仿宋_GB2312" w:cs="仿宋_GB2312"/>
        </w:rPr>
      </w:pPr>
      <w:r>
        <w:rPr>
          <w:rFonts w:hint="eastAsia"/>
        </w:rPr>
        <w:t xml:space="preserve">    经刑事速裁程序审理查明，</w:t>
      </w:r>
      <w:r>
        <w:rPr>
          <w:rFonts w:hint="eastAsia" w:hAnsi="仿宋_GB2312" w:cs="仿宋_GB2312"/>
        </w:rPr>
        <w:t>2011年6月，被告人王洪平用本人的身份信息等资料在中国农业银行宁河支行办理一张信用卡(卡号为：4637580003016585)，后王洪平持此卡透支钱款用于日常开销和生意经营。2015年6月19日被告人王洪平最后一次还款后末再还款，经银行多次催缴后仍末还款。截止2017年1月15日被告人王洪平持该卡欠银行本金人民币41357．95元。</w:t>
      </w:r>
    </w:p>
    <w:p>
      <w:pPr>
        <w:rPr>
          <w:rFonts w:hint="eastAsia" w:hAnsi="仿宋_GB2312" w:cs="仿宋_GB2312"/>
        </w:rPr>
      </w:pPr>
      <w:r>
        <w:rPr>
          <w:rFonts w:hint="eastAsia" w:hAnsi="仿宋_GB2312" w:cs="仿宋_GB2312"/>
        </w:rPr>
        <w:t xml:space="preserve">    案发后，被告人王洪平的家属向银行付清全部欠款。</w:t>
      </w:r>
    </w:p>
    <w:p>
      <w:pPr>
        <w:rPr>
          <w:rFonts w:hint="eastAsia" w:hAnsi="仿宋_GB2312" w:cs="仿宋_GB2312"/>
        </w:rPr>
      </w:pPr>
      <w:r>
        <w:rPr>
          <w:rFonts w:hint="eastAsia" w:hAnsi="仿宋_GB2312" w:cs="仿宋_GB2312"/>
        </w:rPr>
        <w:t xml:space="preserve">    认定上述事实的证据如下：</w:t>
      </w:r>
    </w:p>
    <w:p>
      <w:pPr>
        <w:rPr>
          <w:rFonts w:hint="eastAsia" w:hAnsi="仿宋_GB2312" w:cs="仿宋_GB2312"/>
        </w:rPr>
      </w:pPr>
      <w:r>
        <w:rPr>
          <w:rFonts w:hint="eastAsia" w:hAnsi="仿宋_GB2312" w:cs="仿宋_GB2312"/>
        </w:rPr>
        <w:t xml:space="preserve">    l、信用卡账户交易明细、银行催收记录、前科材料、</w:t>
      </w:r>
    </w:p>
    <w:p>
      <w:pPr>
        <w:rPr>
          <w:rFonts w:hint="eastAsia" w:hAnsi="仿宋_GB2312" w:cs="仿宋_GB2312"/>
        </w:rPr>
      </w:pPr>
      <w:r>
        <w:rPr>
          <w:rFonts w:hint="eastAsia" w:hAnsi="仿宋_GB2312" w:cs="仿宋_GB2312"/>
        </w:rPr>
        <w:t>还款说明等书证。</w:t>
      </w:r>
    </w:p>
    <w:p>
      <w:pPr>
        <w:rPr>
          <w:rFonts w:hint="eastAsia" w:hAnsi="仿宋_GB2312" w:cs="仿宋_GB2312"/>
        </w:rPr>
      </w:pPr>
      <w:r>
        <w:rPr>
          <w:rFonts w:hint="eastAsia" w:hAnsi="仿宋_GB2312" w:cs="仿宋_GB2312"/>
        </w:rPr>
        <w:t xml:space="preserve">    2、被害人的委托人陈述。</w:t>
      </w:r>
    </w:p>
    <w:p>
      <w:pPr>
        <w:rPr>
          <w:rFonts w:hint="eastAsia" w:hAnsi="仿宋_GB2312" w:cs="仿宋_GB2312"/>
        </w:rPr>
      </w:pPr>
      <w:r>
        <w:rPr>
          <w:rFonts w:hint="eastAsia" w:hAnsi="仿宋_GB2312" w:cs="仿宋_GB2312"/>
        </w:rPr>
        <w:t xml:space="preserve">    3、被告人的供述和辩解。</w:t>
      </w:r>
    </w:p>
    <w:p>
      <w:pPr>
        <w:autoSpaceDE w:val="0"/>
        <w:autoSpaceDN w:val="0"/>
        <w:adjustRightInd w:val="0"/>
        <w:spacing w:line="360" w:lineRule="auto"/>
        <w:rPr>
          <w:rFonts w:hint="eastAsia"/>
        </w:rPr>
      </w:pPr>
      <w:r>
        <w:rPr>
          <w:rFonts w:hint="eastAsia"/>
        </w:rPr>
        <w:t xml:space="preserve">    本院认为，</w:t>
      </w:r>
      <w:r>
        <w:rPr>
          <w:rFonts w:hint="eastAsia" w:hAnsi="仿宋_GB2312" w:cs="仿宋_GB2312"/>
        </w:rPr>
        <w:t>被告人王洪平</w:t>
      </w:r>
      <w:r>
        <w:rPr>
          <w:rFonts w:hint="eastAsia" w:hAnsi="仿宋"/>
        </w:rPr>
        <w:t>进行信用卡诈骗活动，恶意透支，数额较大，</w:t>
      </w:r>
      <w:r>
        <w:rPr>
          <w:rFonts w:hint="eastAsia"/>
        </w:rPr>
        <w:t>其行为已构成信用卡诈骗罪，应予惩处。</w:t>
      </w:r>
      <w:r>
        <w:rPr>
          <w:rFonts w:hint="eastAsia" w:hAnsi="仿宋_GB2312" w:cs="仿宋_GB2312"/>
        </w:rPr>
        <w:t>公诉机关指控被告人犯信用卡诈骗罪</w:t>
      </w:r>
      <w:r>
        <w:rPr>
          <w:rFonts w:hint="eastAsia"/>
        </w:rPr>
        <w:t>事实清楚，证据确实、充分，罪名成立。被告人</w:t>
      </w:r>
      <w:r>
        <w:rPr>
          <w:rFonts w:hint="eastAsia" w:hAnsi="仿宋_GB2312" w:cs="仿宋_GB2312"/>
        </w:rPr>
        <w:t>王洪平</w:t>
      </w:r>
      <w:r>
        <w:rPr>
          <w:rFonts w:hint="eastAsia"/>
        </w:rPr>
        <w:t>赔偿被害人损失，认罪认罚，依法从轻处罚。依照《中华人民共和国刑法》第一百九十六条第一款第（四）项</w:t>
      </w:r>
      <w:r>
        <w:rPr>
          <w:rFonts w:hint="eastAsia" w:cs="仿宋_GB2312"/>
        </w:rPr>
        <w:t>、</w:t>
      </w:r>
      <w:r>
        <w:rPr>
          <w:rFonts w:hint="eastAsia"/>
        </w:rPr>
        <w:t>第七十二条、第七十六条的规定，判决如下：</w:t>
      </w:r>
    </w:p>
    <w:p>
      <w:pPr>
        <w:snapToGrid w:val="0"/>
        <w:spacing w:line="360" w:lineRule="auto"/>
        <w:ind w:left="160" w:leftChars="50" w:firstLine="480" w:firstLineChars="150"/>
        <w:rPr>
          <w:rFonts w:hint="eastAsia"/>
        </w:rPr>
      </w:pPr>
      <w:r>
        <w:rPr>
          <w:rFonts w:hint="eastAsia"/>
        </w:rPr>
        <w:t>被告人王洪平犯信用卡诈骗罪，判处有期徒刑一年，缓刑二年,罚金20000元（</w:t>
      </w:r>
      <w:r>
        <w:rPr>
          <w:rFonts w:hint="eastAsia" w:hAnsi="仿宋_GB2312" w:cs="仿宋_GB2312"/>
        </w:rPr>
        <w:t>缓刑考验期从判决确定之日起计算。</w:t>
      </w:r>
      <w:r>
        <w:rPr>
          <w:rFonts w:hint="eastAsia"/>
        </w:rPr>
        <w:t>对宣告缓刑的犯罪分子，在缓刑考验期限内，依法实行社区矫正）。</w:t>
      </w:r>
    </w:p>
    <w:p>
      <w:pPr>
        <w:autoSpaceDE w:val="0"/>
        <w:autoSpaceDN w:val="0"/>
        <w:adjustRightInd w:val="0"/>
        <w:spacing w:line="360" w:lineRule="auto"/>
        <w:ind w:firstLine="645"/>
        <w:rPr>
          <w:rFonts w:hint="eastAsia"/>
        </w:rPr>
      </w:pPr>
      <w:r>
        <w:rPr>
          <w:rFonts w:hint="eastAsia"/>
        </w:rPr>
        <w:t>如不服本判决，可在接到本判决书的第二日起十日内，通过本院或者直接向天津市第二中级人民法院提出上诉。书面上诉的，应提交上诉状正本一份，副本一份。</w:t>
      </w:r>
    </w:p>
    <w:p>
      <w:pPr>
        <w:autoSpaceDE w:val="0"/>
        <w:autoSpaceDN w:val="0"/>
        <w:adjustRightInd w:val="0"/>
        <w:spacing w:line="440" w:lineRule="exact"/>
        <w:jc w:val="right"/>
        <w:rPr>
          <w:rFonts w:hint="eastAsia"/>
        </w:rPr>
      </w:pPr>
      <w:r>
        <w:rPr>
          <w:rFonts w:hint="eastAsia"/>
        </w:rPr>
        <w:t xml:space="preserve">  </w:t>
      </w:r>
    </w:p>
    <w:p>
      <w:pPr>
        <w:autoSpaceDE w:val="0"/>
        <w:autoSpaceDN w:val="0"/>
        <w:adjustRightInd w:val="0"/>
        <w:spacing w:line="440" w:lineRule="exact"/>
        <w:jc w:val="right"/>
        <w:rPr>
          <w:rFonts w:hint="eastAsia"/>
        </w:rPr>
      </w:pPr>
    </w:p>
    <w:p>
      <w:pPr>
        <w:autoSpaceDE w:val="0"/>
        <w:autoSpaceDN w:val="0"/>
        <w:adjustRightInd w:val="0"/>
        <w:spacing w:line="440" w:lineRule="exact"/>
        <w:jc w:val="right"/>
        <w:rPr>
          <w:rFonts w:hint="eastAsia"/>
        </w:rPr>
      </w:pPr>
      <w:r>
        <w:rPr>
          <w:rFonts w:hint="eastAsia"/>
        </w:rPr>
        <w:t xml:space="preserve">审  判  员: 靳加伏 </w:t>
      </w:r>
    </w:p>
    <w:p>
      <w:pPr>
        <w:autoSpaceDE w:val="0"/>
        <w:autoSpaceDN w:val="0"/>
        <w:adjustRightInd w:val="0"/>
        <w:spacing w:line="440" w:lineRule="exact"/>
        <w:jc w:val="right"/>
        <w:rPr>
          <w:rFonts w:hint="eastAsia"/>
        </w:rPr>
      </w:pPr>
    </w:p>
    <w:p>
      <w:pPr>
        <w:wordWrap w:val="0"/>
        <w:autoSpaceDE w:val="0"/>
        <w:autoSpaceDN w:val="0"/>
        <w:adjustRightInd w:val="0"/>
        <w:spacing w:line="440" w:lineRule="exact"/>
        <w:jc w:val="right"/>
        <w:rPr>
          <w:rFonts w:hint="eastAsia"/>
        </w:rPr>
      </w:pPr>
      <w:r>
        <w:rPr>
          <w:rFonts w:hint="eastAsia"/>
        </w:rPr>
        <w:t xml:space="preserve">                           二</w:t>
      </w:r>
      <w:r>
        <w:rPr>
          <w:rFonts w:hint="eastAsia" w:ascii="宋体" w:hAnsi="宋体" w:eastAsia="宋体" w:cs="宋体"/>
        </w:rPr>
        <w:t>〇</w:t>
      </w:r>
      <w:r>
        <w:rPr>
          <w:rFonts w:hint="eastAsia"/>
        </w:rPr>
        <w:t>一七年八月二十五日</w:t>
      </w:r>
    </w:p>
    <w:p>
      <w:pPr>
        <w:autoSpaceDE w:val="0"/>
        <w:autoSpaceDN w:val="0"/>
        <w:adjustRightInd w:val="0"/>
        <w:spacing w:line="440" w:lineRule="exact"/>
        <w:jc w:val="right"/>
        <w:rPr>
          <w:rFonts w:hint="eastAsia"/>
        </w:rPr>
      </w:pPr>
    </w:p>
    <w:p>
      <w:pPr>
        <w:wordWrap w:val="0"/>
        <w:autoSpaceDE w:val="0"/>
        <w:autoSpaceDN w:val="0"/>
        <w:adjustRightInd w:val="0"/>
        <w:spacing w:line="440" w:lineRule="exact"/>
        <w:jc w:val="right"/>
        <w:rPr>
          <w:rFonts w:hint="eastAsia"/>
        </w:rPr>
      </w:pPr>
      <w:r>
        <w:rPr>
          <w:rFonts w:hint="eastAsia"/>
        </w:rPr>
        <w:t>书  记  员: 刘  鑫</w:t>
      </w:r>
    </w:p>
    <w:p>
      <w:pPr>
        <w:autoSpaceDE w:val="0"/>
        <w:autoSpaceDN w:val="0"/>
        <w:adjustRightInd w:val="0"/>
        <w:spacing w:line="400" w:lineRule="exact"/>
        <w:rPr>
          <w:rFonts w:hint="eastAsia"/>
        </w:rPr>
      </w:pPr>
    </w:p>
    <w:p>
      <w:pPr>
        <w:autoSpaceDE w:val="0"/>
        <w:autoSpaceDN w:val="0"/>
        <w:adjustRightInd w:val="0"/>
        <w:spacing w:line="400" w:lineRule="exact"/>
        <w:rPr>
          <w:rFonts w:hint="eastAsia"/>
        </w:rPr>
      </w:pPr>
    </w:p>
    <w:p>
      <w:pPr>
        <w:rPr>
          <w:rFonts w:hint="eastAsia"/>
        </w:rPr>
      </w:pPr>
    </w:p>
    <w:p/>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MS Sans Serif">
    <w:altName w:val="Arial"/>
    <w:panose1 w:val="00000000000000000000"/>
    <w:charset w:val="00"/>
    <w:family w:val="swiss"/>
    <w:pitch w:val="default"/>
    <w:sig w:usb0="00000000" w:usb1="00000000" w:usb2="00000000" w:usb3="00000000" w:csb0="00000001"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464A3"/>
    <w:rsid w:val="004464A3"/>
    <w:rsid w:val="00993AA7"/>
    <w:rsid w:val="00FF4305"/>
    <w:rsid w:val="03F74A22"/>
    <w:rsid w:val="0D3B352E"/>
    <w:rsid w:val="0F0F161A"/>
    <w:rsid w:val="269C0C9D"/>
    <w:rsid w:val="4745400B"/>
    <w:rsid w:val="768B16D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MS Sans Serif" w:eastAsia="仿宋_GB2312" w:cs="Times New Roman"/>
      <w:sz w:val="32"/>
      <w:szCs w:val="32"/>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link w:val="7"/>
    <w:uiPriority w:val="0"/>
    <w:pPr>
      <w:tabs>
        <w:tab w:val="center" w:pos="4153"/>
        <w:tab w:val="right" w:pos="8306"/>
      </w:tabs>
      <w:snapToGrid w:val="0"/>
      <w:jc w:val="left"/>
    </w:pPr>
    <w:rPr>
      <w:sz w:val="18"/>
      <w:szCs w:val="18"/>
    </w:rPr>
  </w:style>
  <w:style w:type="paragraph" w:styleId="3">
    <w:name w:val="header"/>
    <w:basedOn w:val="1"/>
    <w:link w:val="6"/>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qFormat/>
    <w:uiPriority w:val="0"/>
    <w:rPr>
      <w:rFonts w:ascii="仿宋_GB2312" w:hAnsi="MS Sans Serif" w:eastAsia="仿宋_GB2312"/>
      <w:sz w:val="18"/>
      <w:szCs w:val="18"/>
    </w:rPr>
  </w:style>
  <w:style w:type="character" w:customStyle="1" w:styleId="7">
    <w:name w:val="页脚 Char"/>
    <w:basedOn w:val="4"/>
    <w:link w:val="2"/>
    <w:uiPriority w:val="0"/>
    <w:rPr>
      <w:rFonts w:ascii="仿宋_GB2312" w:hAnsi="MS Sans Serif" w:eastAsia="仿宋_GB231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154</Words>
  <Characters>878</Characters>
  <Lines>7</Lines>
  <Paragraphs>2</Paragraphs>
  <TotalTime>0</TotalTime>
  <ScaleCrop>false</ScaleCrop>
  <LinksUpToDate>false</LinksUpToDate>
  <CharactersWithSpaces>1030</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123</dc:creator>
  <cp:lastModifiedBy>TF-PC</cp:lastModifiedBy>
  <dcterms:modified xsi:type="dcterms:W3CDTF">2018-08-27T09:42:16Z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