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ascii="宋体" w:hAnsi="宋体"/>
          <w:sz w:val="44"/>
        </w:rPr>
      </w:pPr>
      <w:bookmarkStart w:id="0" w:name="_GoBack"/>
      <w:bookmarkEnd w:id="0"/>
      <w:r>
        <w:rPr>
          <w:rFonts w:hint="eastAsia" w:ascii="宋体" w:hAnsi="宋体"/>
          <w:sz w:val="44"/>
        </w:rPr>
        <w:t>天津市蓟州区人民法院</w:t>
      </w:r>
    </w:p>
    <w:p>
      <w:pPr>
        <w:spacing w:line="800" w:lineRule="exact"/>
        <w:jc w:val="center"/>
        <w:rPr>
          <w:rFonts w:ascii="宋体" w:hAnsi="宋体"/>
          <w:sz w:val="44"/>
        </w:rPr>
      </w:pPr>
      <w:r>
        <w:rPr>
          <w:rFonts w:hint="eastAsia" w:ascii="宋体" w:hAnsi="宋体"/>
          <w:spacing w:val="50"/>
          <w:kern w:val="0"/>
          <w:sz w:val="52"/>
          <w:szCs w:val="52"/>
        </w:rPr>
        <w:t>刑 事 判 决 书</w:t>
      </w:r>
    </w:p>
    <w:p>
      <w:pPr>
        <w:snapToGrid w:val="0"/>
        <w:spacing w:line="520" w:lineRule="exact"/>
        <w:ind w:firstLine="624" w:firstLineChars="200"/>
        <w:jc w:val="right"/>
        <w:rPr>
          <w:rFonts w:ascii="仿宋_GB2312" w:hAnsi="宋体" w:eastAsia="仿宋_GB2312"/>
          <w:sz w:val="32"/>
        </w:rPr>
      </w:pPr>
    </w:p>
    <w:p>
      <w:pPr>
        <w:snapToGrid w:val="0"/>
        <w:spacing w:line="520" w:lineRule="exact"/>
        <w:ind w:firstLine="624" w:firstLineChars="200"/>
        <w:jc w:val="right"/>
        <w:rPr>
          <w:rFonts w:ascii="仿宋_GB2312" w:hAnsi="仿宋" w:eastAsia="仿宋_GB2312"/>
          <w:sz w:val="32"/>
        </w:rPr>
      </w:pPr>
      <w:r>
        <w:rPr>
          <w:rFonts w:hint="eastAsia" w:ascii="仿宋_GB2312" w:hAnsi="仿宋" w:eastAsia="仿宋_GB2312"/>
          <w:sz w:val="32"/>
        </w:rPr>
        <w:t>（2017）津0119刑初602号</w:t>
      </w:r>
    </w:p>
    <w:p>
      <w:pPr>
        <w:snapToGrid w:val="0"/>
        <w:spacing w:line="520" w:lineRule="exact"/>
        <w:ind w:firstLine="624" w:firstLineChars="200"/>
        <w:jc w:val="right"/>
        <w:rPr>
          <w:rFonts w:ascii="仿宋_GB2312" w:hAnsi="仿宋" w:eastAsia="仿宋_GB2312"/>
          <w:sz w:val="32"/>
        </w:rPr>
      </w:pPr>
    </w:p>
    <w:p>
      <w:pPr>
        <w:snapToGrid w:val="0"/>
        <w:spacing w:line="520" w:lineRule="exact"/>
        <w:ind w:firstLine="624" w:firstLineChars="200"/>
        <w:rPr>
          <w:rFonts w:ascii="仿宋_GB2312" w:hAnsi="仿宋" w:eastAsia="仿宋_GB2312"/>
          <w:sz w:val="32"/>
        </w:rPr>
      </w:pPr>
      <w:r>
        <w:rPr>
          <w:rFonts w:hint="eastAsia" w:ascii="仿宋_GB2312" w:hAnsi="仿宋" w:eastAsia="仿宋_GB2312"/>
          <w:sz w:val="32"/>
        </w:rPr>
        <w:t>公诉机关天津市蓟州区人民检察院。</w:t>
      </w:r>
    </w:p>
    <w:p>
      <w:pPr>
        <w:snapToGrid w:val="0"/>
        <w:spacing w:line="520" w:lineRule="exact"/>
        <w:ind w:firstLine="624" w:firstLineChars="200"/>
        <w:rPr>
          <w:rFonts w:ascii="仿宋_GB2312" w:hAnsi="仿宋" w:eastAsia="仿宋_GB2312"/>
          <w:sz w:val="32"/>
        </w:rPr>
      </w:pPr>
      <w:r>
        <w:rPr>
          <w:rFonts w:hint="eastAsia" w:ascii="仿宋_GB2312" w:hAnsi="仿宋" w:eastAsia="仿宋_GB2312"/>
          <w:sz w:val="32"/>
        </w:rPr>
        <w:t>被告人刘丽婷，女，1974年1月30日出生于天津市蓟州区，公民身份号码：120225197401306041，汉族，本科文化，原天津市引栾工程于桥水库管理处职工，群众，住天津市蓟州区渔阳镇碧玉家园小区4-5-905。因涉嫌信用卡诈骗于2015年12月2日被刑事拘留，同年12月8日被取保候审，因犯信用卡诈骗罪于2016年8月18日被判处有期徒刑三年缓刑四年，并处罚金人民币十万元。因涉嫌信用卡诈骗于2016年11月8日被天津市公安局蓟州分局刑事拘留，同年12月14日被逮捕。现羁押于天津市蓟州区看守所。</w:t>
      </w:r>
    </w:p>
    <w:p>
      <w:pPr>
        <w:snapToGrid w:val="0"/>
        <w:spacing w:line="520" w:lineRule="exact"/>
        <w:ind w:firstLine="624" w:firstLineChars="200"/>
        <w:rPr>
          <w:rFonts w:ascii="仿宋_GB2312" w:hAnsi="仿宋" w:eastAsia="仿宋_GB2312"/>
          <w:sz w:val="32"/>
        </w:rPr>
      </w:pPr>
      <w:r>
        <w:rPr>
          <w:rFonts w:hint="eastAsia" w:ascii="仿宋_GB2312" w:hAnsi="仿宋" w:eastAsia="仿宋_GB2312"/>
          <w:sz w:val="32"/>
        </w:rPr>
        <w:t>被告人刘丽婷被控信用卡诈骗一案，天津市蓟州区人民检察院于2017年7月25日以津蓟检公诉刑诉〔2017〕615号起诉书向本院提起公诉，并建议适用简易程序。本院于当日立案，依法适用简易程序，组成合议庭，于2017年8月23日公开开庭审理了本案。天津市蓟州区人民检察院指派代理检察员金庆磊出庭支持公诉，被告人刘丽婷到庭参加了诉讼。现已审理终结。</w:t>
      </w:r>
    </w:p>
    <w:p>
      <w:pPr>
        <w:snapToGrid w:val="0"/>
        <w:spacing w:line="520" w:lineRule="exact"/>
        <w:ind w:firstLine="624" w:firstLineChars="200"/>
        <w:rPr>
          <w:rFonts w:hint="eastAsia" w:ascii="仿宋_GB2312" w:hAnsi="仿宋" w:eastAsia="仿宋_GB2312"/>
          <w:sz w:val="32"/>
        </w:rPr>
      </w:pPr>
      <w:r>
        <w:rPr>
          <w:rFonts w:hint="eastAsia" w:ascii="仿宋_GB2312" w:hAnsi="仿宋" w:eastAsia="仿宋_GB2312"/>
          <w:sz w:val="32"/>
        </w:rPr>
        <w:t>经审理查明，2010年7月11日，被告人刘丽婷向中国建设银行股份有限公司天津市分行申请办理了一张建设银行信用卡。自2010年8月16日，刘丽婷使用该信用卡透支消费，后在明知没有还款能力的情况下，仍持该信用卡透支消费。2015年2月28日，刘丽婷最后一次透支7999元。后中国建设银行股份有限公司天津市分行采取拨打电话、上门催收等方式多次催收超过三个月，刘丽婷仍未归还欠款本息。截至案发，刘丽婷尚欠中国建设银行股份有限公司天津市分行本金7503.22元未归还。</w:t>
      </w:r>
    </w:p>
    <w:p>
      <w:pPr>
        <w:snapToGrid w:val="0"/>
        <w:spacing w:line="520" w:lineRule="exact"/>
        <w:ind w:firstLine="624" w:firstLineChars="200"/>
        <w:rPr>
          <w:rFonts w:hint="eastAsia" w:ascii="仿宋_GB2312" w:hAnsi="仿宋" w:eastAsia="仿宋_GB2312"/>
          <w:sz w:val="32"/>
        </w:rPr>
      </w:pPr>
      <w:r>
        <w:rPr>
          <w:rFonts w:hint="eastAsia" w:ascii="仿宋_GB2312" w:hAnsi="仿宋" w:eastAsia="仿宋_GB2312"/>
          <w:sz w:val="32"/>
        </w:rPr>
        <w:t>2011年11月，被告人刘丽婷向平安银行申请办理了一张平安银行信用卡。自2011年12月14日，刘丽婷使用该信用卡透支消费，后在明知没有还款能力的情况下，仍持该信用卡透支消费。2015年7月23日，刘丽婷最后一次透支8500元，后平安银行采取拨打电话等方式多次催收。刘丽婷于2016年2月2日还款500元，此后未再还款。经平安银行多次催收后超过三个月，刘丽婷仍未归还欠款本息。截至案发，刘丽婷尚欠平安银行本金32000元未归还。</w:t>
      </w:r>
    </w:p>
    <w:p>
      <w:pPr>
        <w:snapToGrid w:val="0"/>
        <w:spacing w:line="520" w:lineRule="exact"/>
        <w:ind w:firstLine="624" w:firstLineChars="200"/>
        <w:rPr>
          <w:rFonts w:hint="eastAsia" w:ascii="仿宋_GB2312" w:hAnsi="仿宋" w:eastAsia="仿宋_GB2312"/>
          <w:sz w:val="32"/>
        </w:rPr>
      </w:pPr>
      <w:r>
        <w:rPr>
          <w:rFonts w:hint="eastAsia" w:ascii="仿宋_GB2312" w:hAnsi="仿宋" w:eastAsia="仿宋_GB2312"/>
          <w:sz w:val="32"/>
        </w:rPr>
        <w:t>2011年12月19日，被告人刘丽婷向中国光大银行天津分行申请办理了一张光大银行“阳光商旅”信用卡。自2012年1月21日，刘丽婷使用该信用卡透支消费，后在明知没有还款能力的情况下，仍持该信用卡透支消费。2015年2月28日，刘丽婷最后一次透支15700元，后中国光大银行天津分行采取拨打电话、上门催收等方式多次催收。2016年3月15日，刘丽婷还款200元，此后未再还款。经中国光大银行天津分行多次催收后超过三个月，刘丽婷仍未归还透支本息。截至案发，刘丽婷尚欠中国光大银行天津分行本金129242.78元未归还。</w:t>
      </w:r>
    </w:p>
    <w:p>
      <w:pPr>
        <w:snapToGrid w:val="0"/>
        <w:spacing w:line="520" w:lineRule="exact"/>
        <w:ind w:firstLine="624" w:firstLineChars="200"/>
        <w:rPr>
          <w:rFonts w:ascii="仿宋_GB2312" w:hAnsi="仿宋" w:eastAsia="仿宋_GB2312"/>
          <w:sz w:val="32"/>
        </w:rPr>
      </w:pPr>
      <w:r>
        <w:rPr>
          <w:rFonts w:hint="eastAsia" w:ascii="仿宋_GB2312" w:hAnsi="仿宋" w:eastAsia="仿宋_GB2312"/>
          <w:sz w:val="32"/>
        </w:rPr>
        <w:t>2011年12月21日，被告人刘丽婷向中国邮政储蓄银行股份有限公司天津蓟县支行申请办理了一张邮储银行标准信用卡。自2012年2月12日起，刘丽婷使用该信用卡透支消费，后在明知没有还款能力的情况下，仍持该信用卡透支消费。2015年3月23日，刘丽婷最后一次透支2424元，后中国邮政储蓄银行股份有限公司天津蓟县支行采取拨打电话、上门催收等方式多次催收。2016年5月22日，刘丽婷还款100元，此后未再还款。经中国邮政储蓄银行股份有限公司天津蓟县支行多次催收后超过三个月，刘丽婷仍未归还欠款本息。截至案发，刘丽婷尚欠中国邮政储蓄银行股份有限公司天津蓟县支行本金27700.77元未归还。</w:t>
      </w:r>
    </w:p>
    <w:p>
      <w:pPr>
        <w:snapToGrid w:val="0"/>
        <w:spacing w:line="520" w:lineRule="exact"/>
        <w:ind w:firstLine="624" w:firstLineChars="200"/>
        <w:rPr>
          <w:rFonts w:hint="eastAsia" w:ascii="仿宋_GB2312" w:hAnsi="仿宋" w:eastAsia="仿宋_GB2312"/>
          <w:sz w:val="32"/>
        </w:rPr>
      </w:pPr>
      <w:r>
        <w:rPr>
          <w:rFonts w:hint="eastAsia" w:ascii="仿宋_GB2312" w:hAnsi="仿宋" w:eastAsia="仿宋_GB2312"/>
          <w:sz w:val="32"/>
        </w:rPr>
        <w:t>2012年8月20日，被告人刘丽婷向兴业银行股份有限公司天津分行申请办理了一张兴业银行信用卡。自2012年9月15日，刘丽婷使用该信用卡透支消费，后在明知没有还款能力的情况下，仍持该信用卡透支消费。2014年12月30日，刘丽婷最后一次透支861元。2015年2月9日，兴业银行股份有限公司天津分行采取拨打电话、邮寄信函等方式多次催收。2016年2月2日，刘丽婷还款300元，此后未再还款。经兴业银行股份有限公司天津分行多次催收后超过三个月，刘丽婷仍未归还透支本息。截至案发，刘丽婷尚欠兴业银行股份有限公司天津分行本金94409.55元未归还。</w:t>
      </w:r>
    </w:p>
    <w:p>
      <w:pPr>
        <w:snapToGrid w:val="0"/>
        <w:spacing w:line="520" w:lineRule="exact"/>
        <w:ind w:firstLine="624" w:firstLineChars="200"/>
        <w:rPr>
          <w:rFonts w:ascii="仿宋_GB2312" w:hAnsi="仿宋" w:eastAsia="仿宋_GB2312"/>
          <w:sz w:val="32"/>
        </w:rPr>
      </w:pPr>
      <w:r>
        <w:rPr>
          <w:rFonts w:hint="eastAsia" w:ascii="仿宋_GB2312" w:hAnsi="仿宋" w:eastAsia="仿宋_GB2312"/>
          <w:sz w:val="32"/>
        </w:rPr>
        <w:t>2013年1月21日，被告人刘丽婷向哈尔滨银行股份有限公司天津蓟县支行申请办理了一张哈尔滨银行信用卡。自2013年3月11日，刘丽婷使用该信用卡透支消费，后在明知没有还款能力的情况下，仍持该信用卡透支消费。2015年3月14日，刘丽婷最后一次透支140元，后哈尔滨银行股份有限公司天津蓟县支行采取拨打电话、上门催收等方式多次催收。2015年12月15日，刘丽婷还款100元，此后未再还款。经哈尔滨银行股份有限公司天津蓟县支行多次催收后超过三个月，刘丽婷仍未归还欠款本息。截至案发，刘丽婷尚欠哈尔滨银行股份有限公司天津蓟县支行本金49755.34元未归还。</w:t>
      </w:r>
    </w:p>
    <w:p>
      <w:pPr>
        <w:snapToGrid w:val="0"/>
        <w:spacing w:line="520" w:lineRule="exact"/>
        <w:ind w:firstLine="624" w:firstLineChars="200"/>
        <w:rPr>
          <w:rFonts w:ascii="仿宋_GB2312" w:hAnsi="仿宋" w:eastAsia="仿宋_GB2312"/>
          <w:sz w:val="32"/>
        </w:rPr>
      </w:pPr>
      <w:r>
        <w:rPr>
          <w:rFonts w:hint="eastAsia" w:ascii="仿宋_GB2312" w:hAnsi="仿宋" w:eastAsia="仿宋_GB2312"/>
          <w:sz w:val="32"/>
        </w:rPr>
        <w:t>2013年4月16日，被告人刘丽婷向天津银行申请办理了一张天津银行信用卡。自2013年5月7日，刘丽婷使用该信用卡透支消费，后在明知没有还款能力的情况下，仍持该信用卡透支消费。2015年3月26日，刘丽婷最后一次透支20000元，后天津银行采取拨打电话的方式多次催收。2015年12月16日，刘丽婷还款200元，此后未再还款。经天津银行多次催收后超过三个月，刘丽婷仍未归还透支本息。截至案发，刘丽婷尚欠天津银行本金16239.66元未归还。</w:t>
      </w:r>
    </w:p>
    <w:p>
      <w:pPr>
        <w:snapToGrid w:val="0"/>
        <w:spacing w:line="520" w:lineRule="exact"/>
        <w:ind w:firstLine="624" w:firstLineChars="200"/>
        <w:rPr>
          <w:rFonts w:ascii="仿宋_GB2312" w:hAnsi="仿宋" w:eastAsia="仿宋_GB2312"/>
          <w:sz w:val="32"/>
        </w:rPr>
      </w:pPr>
      <w:r>
        <w:rPr>
          <w:rFonts w:hint="eastAsia" w:ascii="仿宋_GB2312" w:hAnsi="仿宋" w:eastAsia="仿宋_GB2312"/>
          <w:sz w:val="32"/>
        </w:rPr>
        <w:t>综上，被告人刘丽婷恶意透支的数额为</w:t>
      </w:r>
      <w:r>
        <w:rPr>
          <w:rFonts w:ascii="仿宋_GB2312" w:hAnsi="仿宋" w:eastAsia="仿宋_GB2312"/>
          <w:sz w:val="32"/>
        </w:rPr>
        <w:t>356851.32</w:t>
      </w:r>
      <w:r>
        <w:rPr>
          <w:rFonts w:hint="eastAsia" w:ascii="仿宋_GB2312" w:hAnsi="仿宋" w:eastAsia="仿宋_GB2312"/>
          <w:sz w:val="32"/>
        </w:rPr>
        <w:t>元。</w:t>
      </w:r>
    </w:p>
    <w:p>
      <w:pPr>
        <w:snapToGrid w:val="0"/>
        <w:spacing w:line="520" w:lineRule="exact"/>
        <w:ind w:firstLine="624" w:firstLineChars="200"/>
        <w:rPr>
          <w:rFonts w:ascii="仿宋_GB2312" w:hAnsi="仿宋" w:eastAsia="仿宋_GB2312"/>
          <w:sz w:val="32"/>
        </w:rPr>
      </w:pPr>
      <w:r>
        <w:rPr>
          <w:rFonts w:hint="eastAsia" w:ascii="仿宋_GB2312" w:hAnsi="仿宋" w:eastAsia="仿宋_GB2312"/>
          <w:sz w:val="32"/>
        </w:rPr>
        <w:t>本案系银行工作人员举报而案发。案发后，被告人刘丽婷被公安机关传唤到案，并如实供述了自己的犯罪事实。</w:t>
      </w:r>
    </w:p>
    <w:p>
      <w:pPr>
        <w:snapToGrid w:val="0"/>
        <w:spacing w:line="520" w:lineRule="exact"/>
        <w:ind w:firstLine="624" w:firstLineChars="200"/>
        <w:rPr>
          <w:rFonts w:ascii="仿宋_GB2312" w:hAnsi="仿宋" w:eastAsia="仿宋_GB2312"/>
          <w:sz w:val="32"/>
        </w:rPr>
      </w:pPr>
      <w:r>
        <w:rPr>
          <w:rFonts w:hint="eastAsia" w:ascii="仿宋_GB2312" w:hAnsi="仿宋" w:eastAsia="仿宋_GB2312"/>
          <w:sz w:val="32"/>
        </w:rPr>
        <w:t xml:space="preserve">另查，被告人刘丽婷因涉嫌信用卡诈骗于2015年12月2日被刑事拘留，同年12月8日被取保候审，先行羁押7日。2016年8月18日，天津市蓟州区人民法院以信用卡诈骗罪判处被告人刘丽婷有期徒刑三年缓刑四年，并处罚金人民币十万元。 </w:t>
      </w:r>
    </w:p>
    <w:p>
      <w:pPr>
        <w:snapToGrid w:val="0"/>
        <w:spacing w:line="520" w:lineRule="exact"/>
        <w:ind w:firstLine="624" w:firstLineChars="200"/>
        <w:rPr>
          <w:rFonts w:ascii="仿宋_GB2312" w:hAnsi="仿宋" w:eastAsia="仿宋_GB2312"/>
          <w:sz w:val="32"/>
        </w:rPr>
      </w:pPr>
      <w:r>
        <w:rPr>
          <w:rFonts w:hint="eastAsia" w:ascii="仿宋_GB2312" w:hAnsi="仿宋" w:eastAsia="仿宋_GB2312"/>
          <w:sz w:val="32"/>
        </w:rPr>
        <w:t>上述事实，被告人刘丽婷在审理过程中无异议，并有经查证属实的案件来源、到案经过、常住人口信息表、刑事判决书、接受证据清单、收条，举报材料、授权委托书、代表人身份证明书、营业执照、刘丽婷信用卡账户说明、关于债务人刘丽婷信用卡近期历史交易明细中无息费交易的说明、协助查询财产通知书、银行交易记录、催收记录、信用卡复印件、信用卡申请材料、天津市房地产权转移登记申请书、天津市房地产登记审核表、天津市个人销售房屋专用发票、天津市房产买卖协议、借款合同、房产抵押担保合同、抵押借款合同、他项权登记申请书、注销登记申请书、天津市房地产抵押权注销证明等书证，催收录音光盘，报案人王振忠、王晨光陈述，证人孙金亮、孟华伟、刘志朋、许彭、卢永证言，被告人刘丽婷供述等证据证实，足以认定。</w:t>
      </w:r>
    </w:p>
    <w:p>
      <w:pPr>
        <w:snapToGrid w:val="0"/>
        <w:spacing w:line="520" w:lineRule="exact"/>
        <w:ind w:firstLine="624" w:firstLineChars="200"/>
        <w:rPr>
          <w:rFonts w:ascii="仿宋_GB2312" w:hAnsi="仿宋" w:eastAsia="仿宋_GB2312"/>
          <w:sz w:val="32"/>
        </w:rPr>
      </w:pPr>
      <w:r>
        <w:rPr>
          <w:rFonts w:hint="eastAsia" w:ascii="仿宋_GB2312" w:hAnsi="仿宋" w:eastAsia="仿宋_GB2312"/>
          <w:sz w:val="32"/>
        </w:rPr>
        <w:t>本院认为，被告人刘丽婷以非法占有为目的，违反信用卡管理规定，超过规定期限透支，经发卡银行两次催收后超过三个月仍不归还，数额巨大，属于恶意透支，其行为既侵犯了国家有关金融票证管理制度，又侵犯了银行的财物所有权，已构成信用卡诈骗罪，应在相应的法定刑幅度内处罚。天津市蓟州区人民检察院指控事实清楚，证据确实、充分，罪名成立，本院予以支持。被告人刘丽婷被传唤到案后如实供述了自己的犯罪事实，系坦白，依法予以从轻处罚。被告人刘丽婷在缓刑考验期内发现漏罪，依法应撤销缓刑，对新发现的罪作出判决，把前罪和后罪所判处的刑罚进行并罚。天津市蓟州区人民检察院建议判处被告人刘丽婷有期徒刑五年至七年，并处罚金的量刑建议适当，本院予以支持。</w:t>
      </w:r>
    </w:p>
    <w:p>
      <w:pPr>
        <w:snapToGrid w:val="0"/>
        <w:spacing w:line="520" w:lineRule="exact"/>
        <w:ind w:firstLine="624" w:firstLineChars="200"/>
        <w:rPr>
          <w:rFonts w:ascii="仿宋_GB2312" w:hAnsi="仿宋" w:eastAsia="仿宋_GB2312"/>
          <w:sz w:val="32"/>
        </w:rPr>
      </w:pPr>
      <w:r>
        <w:rPr>
          <w:rFonts w:hint="eastAsia" w:ascii="仿宋_GB2312" w:hAnsi="仿宋" w:eastAsia="仿宋_GB2312"/>
          <w:sz w:val="32"/>
        </w:rPr>
        <w:t>依照《中华人民共和国刑法》第一百九十六条第一款第（四）项、第二款，第六十四条，第六十七条第三款，第六十九条第一、三款，第七十七条第一款及最高人民法院、最高人民检察院《关于办理妨害信用卡管理刑事案件具体应用法律若干问题的解释》第六条之规定，判决如下：</w:t>
      </w:r>
    </w:p>
    <w:p>
      <w:pPr>
        <w:snapToGrid w:val="0"/>
        <w:spacing w:line="520" w:lineRule="exact"/>
        <w:ind w:firstLine="624" w:firstLineChars="200"/>
        <w:rPr>
          <w:rFonts w:ascii="仿宋_GB2312" w:hAnsi="仿宋" w:eastAsia="仿宋_GB2312"/>
          <w:sz w:val="32"/>
        </w:rPr>
      </w:pPr>
      <w:r>
        <w:rPr>
          <w:rFonts w:hint="eastAsia" w:ascii="仿宋_GB2312" w:hAnsi="仿宋" w:eastAsia="仿宋_GB2312"/>
          <w:sz w:val="32"/>
        </w:rPr>
        <w:t>一、</w:t>
      </w:r>
      <w:r>
        <w:rPr>
          <w:rFonts w:ascii="仿宋_GB2312" w:hAnsi="仿宋" w:eastAsia="仿宋_GB2312"/>
          <w:sz w:val="32"/>
        </w:rPr>
        <w:t>撤销天津市蓟县人民法院（2016）津0225刑初170号刑事判决书中被告人刘丽婷犯信用卡诈骗罪，判处有期徒刑三年缓刑四年，并处罚金人民币十万元的缓刑部分。</w:t>
      </w:r>
    </w:p>
    <w:p>
      <w:pPr>
        <w:snapToGrid w:val="0"/>
        <w:spacing w:line="520" w:lineRule="exact"/>
        <w:ind w:firstLine="624" w:firstLineChars="200"/>
        <w:rPr>
          <w:rFonts w:ascii="仿宋_GB2312" w:hAnsi="仿宋" w:eastAsia="仿宋_GB2312"/>
          <w:sz w:val="32"/>
        </w:rPr>
      </w:pPr>
      <w:r>
        <w:rPr>
          <w:rFonts w:ascii="仿宋_GB2312" w:hAnsi="仿宋" w:eastAsia="仿宋_GB2312"/>
          <w:sz w:val="32"/>
        </w:rPr>
        <w:t>二、被告人刘丽婷犯信用卡诈骗罪，判处有期徒刑五年十个月，并处罚金人民币十五万元，与撤销缓刑后的有期徒刑三年，并处罚金人民币十万元并罚，决定执行有期徒刑八年；并处罚金人民币二十五万元，限</w:t>
      </w:r>
      <w:r>
        <w:rPr>
          <w:rFonts w:hint="eastAsia" w:ascii="仿宋_GB2312" w:hAnsi="仿宋" w:eastAsia="仿宋_GB2312"/>
          <w:sz w:val="32"/>
        </w:rPr>
        <w:t>于</w:t>
      </w:r>
      <w:r>
        <w:rPr>
          <w:rFonts w:ascii="仿宋_GB2312" w:hAnsi="仿宋" w:eastAsia="仿宋_GB2312"/>
          <w:sz w:val="32"/>
        </w:rPr>
        <w:t>本判决生效后十日内缴纳（刑期从判决执行之日起计算。判决执行以前先行羁押的，羁押一日折抵刑期一日，即自2016年11月8日起至2024年10月31日止。）</w:t>
      </w:r>
    </w:p>
    <w:p>
      <w:pPr>
        <w:snapToGrid w:val="0"/>
        <w:spacing w:line="520" w:lineRule="exact"/>
        <w:ind w:firstLine="624" w:firstLineChars="200"/>
        <w:rPr>
          <w:rFonts w:ascii="仿宋_GB2312" w:hAnsi="仿宋" w:eastAsia="仿宋_GB2312"/>
          <w:sz w:val="32"/>
        </w:rPr>
      </w:pPr>
      <w:r>
        <w:rPr>
          <w:rFonts w:hint="eastAsia" w:ascii="仿宋_GB2312" w:hAnsi="仿宋" w:eastAsia="仿宋_GB2312"/>
          <w:sz w:val="32"/>
        </w:rPr>
        <w:t>三、责令被告人刘丽婷退赔中国建设银行股份有限公司天津市分行7503.22元、平安银行32000元、中国光大银行天津分行129242.78元、中国邮政储蓄银行股份有限公司天津蓟县支行27700.77元、兴业银行股份有限公司天津分行94409.55元、哈尔滨银行股份有限公司天津蓟县支行49755.34元、天津银行16239.66元。</w:t>
      </w:r>
    </w:p>
    <w:p>
      <w:pPr>
        <w:snapToGrid w:val="0"/>
        <w:spacing w:line="520" w:lineRule="exact"/>
        <w:ind w:firstLine="624" w:firstLineChars="200"/>
        <w:rPr>
          <w:rFonts w:ascii="仿宋_GB2312" w:hAnsi="仿宋" w:eastAsia="仿宋_GB2312"/>
          <w:sz w:val="32"/>
        </w:rPr>
      </w:pPr>
      <w:r>
        <w:rPr>
          <w:rFonts w:hint="eastAsia" w:ascii="仿宋_GB2312" w:hAnsi="仿宋" w:eastAsia="仿宋_GB2312"/>
          <w:sz w:val="32"/>
        </w:rPr>
        <w:t>如不服本判决，可在接到判决书的第二日起十日内，通过本院或者直接向天津市第一中级人民法院提出上诉。书面上诉的，应当提交上诉状正本一份，副本四份。</w:t>
      </w:r>
    </w:p>
    <w:p>
      <w:pPr>
        <w:snapToGrid w:val="0"/>
        <w:spacing w:line="520" w:lineRule="exact"/>
        <w:ind w:firstLine="624" w:firstLineChars="200"/>
        <w:rPr>
          <w:rFonts w:ascii="仿宋_GB2312" w:hAnsi="仿宋" w:eastAsia="仿宋_GB2312"/>
          <w:sz w:val="32"/>
        </w:rPr>
      </w:pPr>
    </w:p>
    <w:p>
      <w:pPr>
        <w:snapToGrid w:val="0"/>
        <w:spacing w:line="520" w:lineRule="exact"/>
        <w:ind w:right="312"/>
        <w:jc w:val="right"/>
        <w:rPr>
          <w:rFonts w:hint="eastAsia" w:ascii="仿宋_GB2312" w:hAnsi="仿宋" w:eastAsia="仿宋_GB2312"/>
          <w:sz w:val="32"/>
          <w:szCs w:val="32"/>
        </w:rPr>
      </w:pPr>
      <w:r>
        <w:rPr>
          <w:rFonts w:hint="eastAsia" w:ascii="仿宋_GB2312" w:hAnsi="仿宋" w:eastAsia="仿宋_GB2312"/>
          <w:sz w:val="32"/>
          <w:szCs w:val="32"/>
        </w:rPr>
        <w:t>审  判  长   李英山</w:t>
      </w:r>
    </w:p>
    <w:p>
      <w:pPr>
        <w:snapToGrid w:val="0"/>
        <w:spacing w:line="520" w:lineRule="exact"/>
        <w:ind w:right="312"/>
        <w:jc w:val="right"/>
        <w:rPr>
          <w:rFonts w:ascii="仿宋_GB2312" w:hAnsi="仿宋" w:eastAsia="仿宋_GB2312"/>
          <w:sz w:val="32"/>
          <w:szCs w:val="32"/>
        </w:rPr>
      </w:pPr>
      <w:r>
        <w:rPr>
          <w:rFonts w:hint="eastAsia" w:ascii="仿宋_GB2312" w:hAnsi="仿宋" w:eastAsia="仿宋_GB2312"/>
          <w:sz w:val="32"/>
          <w:szCs w:val="32"/>
        </w:rPr>
        <w:t xml:space="preserve">审  判  员   闵  鹏   </w:t>
      </w:r>
    </w:p>
    <w:p>
      <w:pPr>
        <w:snapToGrid w:val="0"/>
        <w:spacing w:line="520" w:lineRule="exact"/>
        <w:ind w:right="312"/>
        <w:jc w:val="right"/>
        <w:rPr>
          <w:rFonts w:hint="eastAsia" w:ascii="仿宋_GB2312" w:hAnsi="仿宋" w:eastAsia="仿宋_GB2312"/>
          <w:sz w:val="32"/>
          <w:szCs w:val="32"/>
        </w:rPr>
      </w:pPr>
      <w:r>
        <w:rPr>
          <w:rFonts w:hint="eastAsia" w:ascii="仿宋_GB2312" w:hAnsi="仿宋" w:eastAsia="仿宋_GB2312"/>
          <w:sz w:val="32"/>
          <w:szCs w:val="32"/>
        </w:rPr>
        <w:t>人民陪审员   马翠贤</w:t>
      </w:r>
    </w:p>
    <w:p>
      <w:pPr>
        <w:snapToGrid w:val="0"/>
        <w:spacing w:line="520" w:lineRule="exact"/>
        <w:ind w:right="312"/>
        <w:jc w:val="right"/>
        <w:rPr>
          <w:rFonts w:hint="eastAsia" w:ascii="仿宋_GB2312" w:hAnsi="仿宋" w:eastAsia="仿宋_GB2312"/>
          <w:sz w:val="32"/>
          <w:szCs w:val="32"/>
        </w:rPr>
      </w:pPr>
    </w:p>
    <w:p>
      <w:pPr>
        <w:snapToGrid w:val="0"/>
        <w:spacing w:line="520" w:lineRule="exact"/>
        <w:ind w:right="312"/>
        <w:jc w:val="right"/>
        <w:rPr>
          <w:rFonts w:hint="eastAsia" w:ascii="仿宋_GB2312" w:hAnsi="仿宋" w:eastAsia="仿宋_GB2312"/>
          <w:sz w:val="32"/>
          <w:szCs w:val="32"/>
        </w:rPr>
      </w:pPr>
    </w:p>
    <w:p>
      <w:pPr>
        <w:snapToGrid w:val="0"/>
        <w:spacing w:line="520" w:lineRule="exact"/>
        <w:ind w:right="312"/>
        <w:jc w:val="right"/>
        <w:rPr>
          <w:rFonts w:hint="eastAsia" w:ascii="仿宋_GB2312" w:hAnsi="仿宋" w:eastAsia="仿宋_GB2312"/>
          <w:sz w:val="32"/>
          <w:szCs w:val="32"/>
        </w:rPr>
      </w:pPr>
    </w:p>
    <w:p>
      <w:pPr>
        <w:tabs>
          <w:tab w:val="left" w:pos="5349"/>
        </w:tabs>
        <w:snapToGrid w:val="0"/>
        <w:spacing w:line="520" w:lineRule="exact"/>
        <w:ind w:right="312"/>
        <w:jc w:val="right"/>
        <w:rPr>
          <w:rFonts w:hint="eastAsia" w:ascii="仿宋_GB2312" w:hAnsi="仿宋" w:eastAsia="仿宋_GB2312"/>
          <w:sz w:val="32"/>
          <w:szCs w:val="32"/>
        </w:rPr>
      </w:pPr>
      <w:r>
        <w:rPr>
          <w:rFonts w:hint="eastAsia" w:ascii="仿宋_GB2312" w:hAnsi="仿宋" w:eastAsia="仿宋_GB2312"/>
          <w:sz w:val="32"/>
          <w:szCs w:val="32"/>
        </w:rPr>
        <w:t>二</w:t>
      </w:r>
      <w:r>
        <w:rPr>
          <w:rFonts w:hint="eastAsia" w:ascii="宋体" w:hAnsi="宋体" w:cs="宋体"/>
          <w:sz w:val="32"/>
          <w:szCs w:val="32"/>
        </w:rPr>
        <w:t>〇</w:t>
      </w:r>
      <w:r>
        <w:rPr>
          <w:rFonts w:hint="eastAsia" w:ascii="仿宋_GB2312" w:hAnsi="仿宋_GB2312" w:eastAsia="仿宋_GB2312" w:cs="仿宋_GB2312"/>
          <w:sz w:val="32"/>
          <w:szCs w:val="32"/>
        </w:rPr>
        <w:t>一七年九月一</w:t>
      </w:r>
      <w:r>
        <w:rPr>
          <w:rFonts w:hint="eastAsia" w:ascii="仿宋_GB2312" w:hAnsi="仿宋" w:eastAsia="仿宋_GB2312"/>
          <w:sz w:val="32"/>
          <w:szCs w:val="32"/>
        </w:rPr>
        <w:t>日</w:t>
      </w:r>
    </w:p>
    <w:p>
      <w:pPr>
        <w:tabs>
          <w:tab w:val="left" w:pos="5349"/>
        </w:tabs>
        <w:snapToGrid w:val="0"/>
        <w:spacing w:line="520" w:lineRule="exact"/>
        <w:ind w:right="312"/>
        <w:jc w:val="right"/>
        <w:rPr>
          <w:rFonts w:hint="eastAsia" w:ascii="仿宋_GB2312" w:hAnsi="仿宋" w:eastAsia="仿宋_GB2312"/>
          <w:sz w:val="32"/>
          <w:szCs w:val="32"/>
        </w:rPr>
      </w:pPr>
    </w:p>
    <w:p>
      <w:pPr>
        <w:snapToGrid w:val="0"/>
        <w:spacing w:line="520" w:lineRule="exact"/>
        <w:ind w:right="312"/>
        <w:jc w:val="right"/>
        <w:rPr>
          <w:rFonts w:ascii="仿宋_GB2312" w:hAnsi="仿宋" w:eastAsia="仿宋_GB2312"/>
          <w:sz w:val="32"/>
          <w:szCs w:val="32"/>
        </w:rPr>
      </w:pPr>
      <w:r>
        <w:rPr>
          <w:rFonts w:hint="eastAsia" w:ascii="仿宋_GB2312" w:hAnsi="仿宋" w:eastAsia="仿宋_GB2312"/>
          <w:sz w:val="32"/>
          <w:szCs w:val="32"/>
        </w:rPr>
        <w:t>书  记  员    王  宁</w:t>
      </w:r>
    </w:p>
    <w:p>
      <w:pPr>
        <w:spacing w:line="520" w:lineRule="exact"/>
        <w:rPr>
          <w:rFonts w:ascii="仿宋_GB2312" w:eastAsia="仿宋_GB2312"/>
          <w:b/>
          <w:sz w:val="32"/>
          <w:szCs w:val="32"/>
        </w:rPr>
      </w:pPr>
      <w:r>
        <w:rPr>
          <w:rFonts w:hint="eastAsia" w:ascii="仿宋_GB2312" w:eastAsia="仿宋_GB2312"/>
          <w:b/>
          <w:sz w:val="32"/>
          <w:szCs w:val="32"/>
        </w:rPr>
        <w:t>附：本裁判文书所依据法律规定的具体条文</w:t>
      </w:r>
    </w:p>
    <w:p>
      <w:pPr>
        <w:spacing w:line="520" w:lineRule="exact"/>
        <w:ind w:firstLine="624" w:firstLineChars="200"/>
        <w:rPr>
          <w:rFonts w:ascii="仿宋_GB2312" w:eastAsia="仿宋_GB2312"/>
          <w:b/>
          <w:sz w:val="32"/>
          <w:szCs w:val="32"/>
        </w:rPr>
      </w:pPr>
      <w:r>
        <w:rPr>
          <w:rFonts w:hint="eastAsia" w:ascii="仿宋_GB2312" w:eastAsia="仿宋_GB2312"/>
          <w:b/>
          <w:sz w:val="32"/>
          <w:szCs w:val="32"/>
        </w:rPr>
        <w:t>《中华人民共和国刑法》</w:t>
      </w:r>
    </w:p>
    <w:p>
      <w:pPr>
        <w:spacing w:line="520" w:lineRule="exact"/>
        <w:ind w:firstLine="624" w:firstLineChars="200"/>
        <w:rPr>
          <w:rFonts w:ascii="仿宋_GB2312" w:eastAsia="仿宋_GB2312"/>
          <w:sz w:val="32"/>
          <w:szCs w:val="32"/>
        </w:rPr>
      </w:pPr>
      <w:r>
        <w:rPr>
          <w:rFonts w:hint="eastAsia" w:ascii="仿宋_GB2312" w:eastAsia="仿宋_GB2312"/>
          <w:sz w:val="32"/>
          <w:szCs w:val="32"/>
        </w:rPr>
        <w:t xml:space="preserve">1.第一百九十六条第一款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                                            </w:t>
      </w:r>
    </w:p>
    <w:p>
      <w:pPr>
        <w:spacing w:line="520" w:lineRule="exact"/>
        <w:ind w:firstLine="624" w:firstLineChars="200"/>
        <w:rPr>
          <w:rFonts w:ascii="仿宋_GB2312" w:eastAsia="仿宋_GB2312"/>
          <w:sz w:val="32"/>
          <w:szCs w:val="32"/>
        </w:rPr>
      </w:pPr>
      <w:r>
        <w:rPr>
          <w:rFonts w:hint="eastAsia" w:ascii="仿宋_GB2312" w:eastAsia="仿宋_GB2312"/>
          <w:sz w:val="32"/>
          <w:szCs w:val="32"/>
        </w:rPr>
        <w:t>(一)使用伪造的信用卡，或者使用以虚假的身份证明骗领的信用卡的;</w:t>
      </w:r>
    </w:p>
    <w:p>
      <w:pPr>
        <w:spacing w:line="520" w:lineRule="exact"/>
        <w:ind w:firstLine="624" w:firstLineChars="200"/>
        <w:rPr>
          <w:rFonts w:ascii="仿宋_GB2312" w:eastAsia="仿宋_GB2312"/>
          <w:sz w:val="32"/>
          <w:szCs w:val="32"/>
        </w:rPr>
      </w:pPr>
      <w:r>
        <w:rPr>
          <w:rFonts w:hint="eastAsia" w:ascii="仿宋_GB2312" w:eastAsia="仿宋_GB2312"/>
          <w:sz w:val="32"/>
          <w:szCs w:val="32"/>
        </w:rPr>
        <w:t>(二)使用作废的信用卡的;</w:t>
      </w:r>
    </w:p>
    <w:p>
      <w:pPr>
        <w:spacing w:line="520" w:lineRule="exact"/>
        <w:ind w:firstLine="624" w:firstLineChars="200"/>
        <w:rPr>
          <w:rFonts w:ascii="仿宋_GB2312" w:eastAsia="仿宋_GB2312"/>
          <w:sz w:val="32"/>
          <w:szCs w:val="32"/>
        </w:rPr>
      </w:pPr>
      <w:r>
        <w:rPr>
          <w:rFonts w:hint="eastAsia" w:ascii="仿宋_GB2312" w:eastAsia="仿宋_GB2312"/>
          <w:sz w:val="32"/>
          <w:szCs w:val="32"/>
        </w:rPr>
        <w:t>(三)冒用他人信用卡的;</w:t>
      </w:r>
    </w:p>
    <w:p>
      <w:pPr>
        <w:spacing w:line="520" w:lineRule="exact"/>
        <w:ind w:firstLine="624" w:firstLineChars="200"/>
        <w:rPr>
          <w:rFonts w:ascii="仿宋_GB2312" w:eastAsia="仿宋_GB2312"/>
          <w:sz w:val="32"/>
          <w:szCs w:val="32"/>
        </w:rPr>
      </w:pPr>
      <w:r>
        <w:rPr>
          <w:rFonts w:hint="eastAsia" w:ascii="仿宋_GB2312" w:eastAsia="仿宋_GB2312"/>
          <w:sz w:val="32"/>
          <w:szCs w:val="32"/>
        </w:rPr>
        <w:t>(四)恶意透支的。</w:t>
      </w:r>
    </w:p>
    <w:p>
      <w:pPr>
        <w:pStyle w:val="2"/>
        <w:tabs>
          <w:tab w:val="left" w:pos="8100"/>
          <w:tab w:val="left" w:pos="8280"/>
        </w:tabs>
        <w:adjustRightInd w:val="0"/>
        <w:snapToGrid w:val="0"/>
        <w:spacing w:line="520" w:lineRule="exact"/>
        <w:ind w:firstLine="623"/>
        <w:rPr>
          <w:rFonts w:ascii="仿宋_GB2312" w:eastAsia="仿宋_GB2312"/>
          <w:sz w:val="32"/>
          <w:szCs w:val="32"/>
        </w:rPr>
      </w:pPr>
      <w:r>
        <w:rPr>
          <w:rFonts w:hint="eastAsia" w:ascii="仿宋_GB2312" w:eastAsia="仿宋_GB2312"/>
          <w:sz w:val="32"/>
          <w:szCs w:val="32"/>
        </w:rPr>
        <w:t>第二款 前款所称恶意透支，是指持卡人以非法占有为目的，超过规定限额或者规定期限透支，并且经发卡银行催收后仍不归还的行为。</w:t>
      </w:r>
    </w:p>
    <w:p>
      <w:pPr>
        <w:pStyle w:val="2"/>
        <w:tabs>
          <w:tab w:val="left" w:pos="8100"/>
          <w:tab w:val="left" w:pos="8280"/>
        </w:tabs>
        <w:adjustRightInd w:val="0"/>
        <w:snapToGrid w:val="0"/>
        <w:spacing w:line="520" w:lineRule="exact"/>
        <w:ind w:firstLine="623"/>
        <w:rPr>
          <w:rFonts w:ascii="仿宋_GB2312" w:eastAsia="仿宋_GB2312"/>
          <w:sz w:val="32"/>
          <w:szCs w:val="32"/>
        </w:rPr>
      </w:pPr>
      <w:r>
        <w:rPr>
          <w:rFonts w:hint="eastAsia" w:ascii="仿宋_GB2312" w:eastAsia="仿宋_GB2312"/>
          <w:sz w:val="32"/>
          <w:szCs w:val="32"/>
        </w:rPr>
        <w:t>2.第六十四条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20" w:lineRule="exact"/>
        <w:ind w:firstLine="612" w:firstLineChars="196"/>
        <w:rPr>
          <w:rFonts w:ascii="仿宋_GB2312" w:eastAsia="仿宋_GB2312"/>
          <w:sz w:val="32"/>
          <w:szCs w:val="32"/>
        </w:rPr>
      </w:pPr>
      <w:r>
        <w:rPr>
          <w:rFonts w:hint="eastAsia" w:ascii="仿宋_GB2312" w:eastAsia="仿宋_GB2312"/>
          <w:sz w:val="32"/>
          <w:szCs w:val="32"/>
        </w:rPr>
        <w:t xml:space="preserve">3.第六十七条第三款 犯罪嫌疑人虽不具有前两款规定的自首情节，但是如实供述自己的罪行的，可以从轻处罚；因其如实供述自己罪行，避免特别严重后果发生的，可以减轻处罚。 </w:t>
      </w:r>
    </w:p>
    <w:p>
      <w:pPr>
        <w:adjustRightInd w:val="0"/>
        <w:snapToGrid w:val="0"/>
        <w:spacing w:line="520" w:lineRule="exact"/>
        <w:ind w:firstLine="624" w:firstLineChars="200"/>
        <w:rPr>
          <w:rFonts w:ascii="仿宋_GB2312" w:eastAsia="仿宋_GB2312"/>
          <w:sz w:val="32"/>
          <w:szCs w:val="32"/>
        </w:rPr>
      </w:pPr>
      <w:r>
        <w:rPr>
          <w:rFonts w:hint="eastAsia" w:ascii="仿宋_GB2312" w:eastAsia="仿宋_GB2312"/>
          <w:sz w:val="32"/>
          <w:szCs w:val="32"/>
        </w:rPr>
        <w:t>4.第六十九条第一款  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w:t>
      </w:r>
    </w:p>
    <w:p>
      <w:pPr>
        <w:adjustRightInd w:val="0"/>
        <w:snapToGrid w:val="0"/>
        <w:spacing w:line="520" w:lineRule="exact"/>
        <w:ind w:firstLine="624" w:firstLineChars="200"/>
        <w:rPr>
          <w:rFonts w:ascii="仿宋_GB2312" w:eastAsia="仿宋_GB2312"/>
          <w:sz w:val="32"/>
          <w:szCs w:val="32"/>
        </w:rPr>
      </w:pPr>
      <w:r>
        <w:rPr>
          <w:rFonts w:hint="eastAsia" w:ascii="仿宋_GB2312" w:eastAsia="仿宋_GB2312"/>
          <w:sz w:val="32"/>
          <w:szCs w:val="32"/>
        </w:rPr>
        <w:t>第三款  数罪中有判处附加刑的，附加刑仍须执行，其中附加刑种类相同的，合并执行，种类不同的，分别执行。</w:t>
      </w:r>
    </w:p>
    <w:p>
      <w:pPr>
        <w:pStyle w:val="2"/>
        <w:tabs>
          <w:tab w:val="left" w:pos="8100"/>
          <w:tab w:val="left" w:pos="8280"/>
        </w:tabs>
        <w:adjustRightInd w:val="0"/>
        <w:snapToGrid w:val="0"/>
        <w:spacing w:line="520" w:lineRule="exact"/>
        <w:ind w:firstLine="623"/>
        <w:rPr>
          <w:rFonts w:ascii="仿宋_GB2312" w:eastAsia="仿宋_GB2312"/>
          <w:b/>
          <w:sz w:val="32"/>
          <w:szCs w:val="32"/>
        </w:rPr>
      </w:pPr>
      <w:r>
        <w:rPr>
          <w:rFonts w:hint="eastAsia" w:ascii="仿宋_GB2312" w:hAnsi="仿宋" w:eastAsia="仿宋_GB2312"/>
          <w:sz w:val="32"/>
          <w:szCs w:val="32"/>
        </w:rPr>
        <w:t xml:space="preserve">5.第七十七条第一款 </w:t>
      </w:r>
      <w:r>
        <w:rPr>
          <w:rFonts w:hint="eastAsia" w:ascii="仿宋_GB2312" w:eastAsia="仿宋_GB2312"/>
          <w:sz w:val="32"/>
          <w:szCs w:val="32"/>
        </w:rPr>
        <w:t>　被宣告缓刑的犯罪分子，在缓刑考验期限内犯新罪或者发现判决宣告以前还有其他罪没有判决的，应当撤销缓刑，对新犯的罪或者新发现的罪作出判决，把前罪和后罪所判处的刑罚，依照本法第六十九条的规定，决定执行的刑罚。</w:t>
      </w:r>
    </w:p>
    <w:p>
      <w:pPr>
        <w:spacing w:line="520" w:lineRule="exact"/>
        <w:ind w:firstLine="612" w:firstLineChars="196"/>
        <w:rPr>
          <w:rFonts w:ascii="仿宋_GB2312" w:hAnsi="仿宋" w:eastAsia="仿宋_GB2312"/>
          <w:b/>
          <w:sz w:val="32"/>
          <w:szCs w:val="32"/>
        </w:rPr>
      </w:pPr>
      <w:r>
        <w:rPr>
          <w:rFonts w:hint="eastAsia" w:ascii="仿宋_GB2312" w:hAnsi="仿宋" w:eastAsia="仿宋_GB2312"/>
          <w:b/>
          <w:sz w:val="32"/>
          <w:szCs w:val="32"/>
        </w:rPr>
        <w:t>最高人民法院、最高人民检察院《关于办理妨害信用卡管理刑事案件具体应用法律若干问题的解释》</w:t>
      </w:r>
    </w:p>
    <w:p>
      <w:pPr>
        <w:adjustRightInd w:val="0"/>
        <w:snapToGrid w:val="0"/>
        <w:spacing w:line="520" w:lineRule="exact"/>
        <w:ind w:firstLine="624" w:firstLineChars="200"/>
        <w:rPr>
          <w:rFonts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1.第六条 持卡人以非法占有为目的，超过规定限额或者规定期限透支，并且经发卡银行两次催收后超过3个月仍不归还的，应当认定为刑法第一百九十六条规定的“恶意透支”。</w:t>
      </w:r>
    </w:p>
    <w:p>
      <w:pPr>
        <w:adjustRightInd w:val="0"/>
        <w:snapToGrid w:val="0"/>
        <w:spacing w:line="520" w:lineRule="exact"/>
        <w:ind w:firstLine="624" w:firstLineChars="200"/>
        <w:rPr>
          <w:rFonts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有以下情形之一的，应当认定为刑法第一百九十六条第二款规定的“以非法占有为目的”： </w:t>
      </w:r>
    </w:p>
    <w:p>
      <w:pPr>
        <w:adjustRightInd w:val="0"/>
        <w:snapToGrid w:val="0"/>
        <w:spacing w:line="520" w:lineRule="exact"/>
        <w:ind w:firstLine="624" w:firstLineChars="200"/>
        <w:rPr>
          <w:rFonts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（一）明知没有还款能力而大量透支，无法归还的； </w:t>
      </w:r>
    </w:p>
    <w:p>
      <w:pPr>
        <w:adjustRightInd w:val="0"/>
        <w:snapToGrid w:val="0"/>
        <w:spacing w:line="520" w:lineRule="exact"/>
        <w:ind w:firstLine="624" w:firstLineChars="200"/>
        <w:rPr>
          <w:rFonts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（二）肆意挥霍透支的资金，无法归还的； </w:t>
      </w:r>
    </w:p>
    <w:p>
      <w:pPr>
        <w:adjustRightInd w:val="0"/>
        <w:snapToGrid w:val="0"/>
        <w:spacing w:line="520" w:lineRule="exact"/>
        <w:ind w:firstLine="624" w:firstLineChars="200"/>
        <w:rPr>
          <w:rFonts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（三）透支后逃匿、改变联系方式，逃避银行催收的； </w:t>
      </w:r>
    </w:p>
    <w:p>
      <w:pPr>
        <w:adjustRightInd w:val="0"/>
        <w:snapToGrid w:val="0"/>
        <w:spacing w:line="520" w:lineRule="exact"/>
        <w:ind w:firstLine="624" w:firstLineChars="200"/>
        <w:rPr>
          <w:rFonts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（四）抽逃、转移资金，隐匿财产，逃避还款的； </w:t>
      </w:r>
    </w:p>
    <w:p>
      <w:pPr>
        <w:adjustRightInd w:val="0"/>
        <w:snapToGrid w:val="0"/>
        <w:spacing w:line="520" w:lineRule="exact"/>
        <w:ind w:firstLine="624" w:firstLineChars="200"/>
        <w:rPr>
          <w:rFonts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（五）使用透支的资金进行违法犯罪活动的； </w:t>
      </w:r>
    </w:p>
    <w:p>
      <w:pPr>
        <w:adjustRightInd w:val="0"/>
        <w:snapToGrid w:val="0"/>
        <w:spacing w:line="520" w:lineRule="exact"/>
        <w:ind w:firstLine="624" w:firstLineChars="200"/>
        <w:rPr>
          <w:rFonts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（六）其他非法占有资金，拒不归还的行为。</w:t>
      </w:r>
    </w:p>
    <w:p>
      <w:pPr>
        <w:adjustRightInd w:val="0"/>
        <w:snapToGrid w:val="0"/>
        <w:spacing w:line="520" w:lineRule="exact"/>
        <w:ind w:firstLine="624" w:firstLineChars="200"/>
        <w:rPr>
          <w:rFonts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adjustRightInd w:val="0"/>
        <w:snapToGrid w:val="0"/>
        <w:spacing w:line="520" w:lineRule="exact"/>
        <w:ind w:firstLine="624" w:firstLineChars="200"/>
        <w:rPr>
          <w:rFonts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恶意透支的数额，是指在第一款规定的条件下持卡人拒不归还的数额或者尚未归还的数额。不包括复利、滞纳金、手续费等发卡银行收取的费用。</w:t>
      </w:r>
    </w:p>
    <w:p>
      <w:pPr>
        <w:adjustRightInd w:val="0"/>
        <w:snapToGrid w:val="0"/>
        <w:spacing w:line="520" w:lineRule="exact"/>
        <w:rPr>
          <w:rFonts w:ascii="Calibri" w:hAnsi="Calibri" w:eastAsia="仿宋_GB2312"/>
          <w:sz w:val="32"/>
        </w:rPr>
      </w:pPr>
    </w:p>
    <w:p>
      <w:pPr>
        <w:spacing w:line="520" w:lineRule="exact"/>
      </w:pPr>
    </w:p>
    <w:sectPr>
      <w:footerReference r:id="rId3" w:type="default"/>
      <w:footerReference r:id="rId4" w:type="even"/>
      <w:pgSz w:w="11907" w:h="16840"/>
      <w:pgMar w:top="1701" w:right="1418" w:bottom="1701" w:left="1701" w:header="1134" w:footer="1077" w:gutter="0"/>
      <w:cols w:space="425" w:num="1"/>
      <w:docGrid w:type="linesAndChars" w:linePitch="298" w:charSpace="-17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Fonts w:hint="eastAsia"/>
      </w:rPr>
      <w:t>第</w:t>
    </w:r>
    <w:r>
      <w:fldChar w:fldCharType="begin"/>
    </w:r>
    <w:r>
      <w:instrText xml:space="preserve"> </w:instrText>
    </w:r>
    <w:r>
      <w:rPr>
        <w:rFonts w:hint="eastAsia"/>
      </w:rPr>
      <w:instrText xml:space="preserve">PAGE  \* Arabic  \* MERGEFORMAT</w:instrText>
    </w:r>
    <w:r>
      <w:instrText xml:space="preserve"> </w:instrText>
    </w:r>
    <w:r>
      <w:fldChar w:fldCharType="separate"/>
    </w:r>
    <w:r>
      <w:t>1</w:t>
    </w:r>
    <w:r>
      <w:fldChar w:fldCharType="end"/>
    </w:r>
    <w:r>
      <w:rPr>
        <w:rFonts w:hint="eastAsia"/>
      </w:rPr>
      <w:t>页共</w:t>
    </w:r>
    <w:r>
      <w:fldChar w:fldCharType="begin"/>
    </w:r>
    <w:r>
      <w:instrText xml:space="preserve"> NUMPAGES   \* MERGEFORMAT </w:instrText>
    </w:r>
    <w:r>
      <w:fldChar w:fldCharType="separate"/>
    </w:r>
    <w:r>
      <w:t>9</w:t>
    </w:r>
    <w:r>
      <w:fldChar w:fldCharType="end"/>
    </w:r>
    <w:r>
      <w:rPr>
        <w:rFonts w:hint="eastAsia"/>
      </w:rPr>
      <w:t>页</w:t>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5"/>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12524E97"/>
    <w:rsid w:val="4DCC2DEF"/>
    <w:rsid w:val="518B3E6E"/>
    <w:rsid w:val="548219B4"/>
    <w:rsid w:val="5DD03B0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Normal Indent"/>
    <w:basedOn w:val="1"/>
    <w:uiPriority w:val="0"/>
    <w:pPr>
      <w:widowControl/>
      <w:ind w:firstLine="420" w:firstLineChars="200"/>
      <w:jc w:val="left"/>
    </w:pPr>
    <w:rPr>
      <w:kern w:val="0"/>
      <w:sz w:val="20"/>
      <w:szCs w:val="20"/>
    </w:rPr>
  </w:style>
  <w:style w:type="paragraph" w:styleId="3">
    <w:name w:val="Body Text Indent"/>
    <w:basedOn w:val="1"/>
    <w:link w:val="14"/>
    <w:qFormat/>
    <w:uiPriority w:val="0"/>
    <w:pPr>
      <w:snapToGrid w:val="0"/>
      <w:spacing w:line="360" w:lineRule="auto"/>
      <w:ind w:firstLine="674" w:firstLineChars="200"/>
    </w:pPr>
    <w:rPr>
      <w:rFonts w:hint="eastAsia" w:ascii="宋体" w:hAnsi="宋体"/>
      <w:sz w:val="32"/>
    </w:rPr>
  </w:style>
  <w:style w:type="paragraph" w:styleId="4">
    <w:name w:val="Date"/>
    <w:basedOn w:val="1"/>
    <w:next w:val="1"/>
    <w:link w:val="15"/>
    <w:semiHidden/>
    <w:unhideWhenUsed/>
    <w:qFormat/>
    <w:uiPriority w:val="99"/>
    <w:pPr>
      <w:ind w:left="100" w:leftChars="2500"/>
    </w:pPr>
  </w:style>
  <w:style w:type="paragraph" w:styleId="5">
    <w:name w:val="footer"/>
    <w:basedOn w:val="1"/>
    <w:link w:val="13"/>
    <w:unhideWhenUsed/>
    <w:qFormat/>
    <w:uiPriority w:val="99"/>
    <w:pPr>
      <w:tabs>
        <w:tab w:val="center" w:pos="4153"/>
        <w:tab w:val="right" w:pos="8306"/>
      </w:tabs>
      <w:snapToGrid w:val="0"/>
      <w:jc w:val="left"/>
    </w:pPr>
    <w:rPr>
      <w:rFonts w:ascii="Calibri" w:hAnsi="Calibri" w:eastAsia="宋体" w:cs="Times New Roman"/>
      <w:sz w:val="18"/>
      <w:szCs w:val="18"/>
    </w:rPr>
  </w:style>
  <w:style w:type="paragraph" w:styleId="6">
    <w:name w:val="header"/>
    <w:basedOn w:val="1"/>
    <w:link w:val="12"/>
    <w:semiHidden/>
    <w:unhideWhenUsed/>
    <w:qFormat/>
    <w:uiPriority w:val="99"/>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character" w:styleId="8">
    <w:name w:val="page number"/>
    <w:basedOn w:val="7"/>
    <w:qFormat/>
    <w:uiPriority w:val="0"/>
  </w:style>
  <w:style w:type="paragraph" w:customStyle="1" w:styleId="10">
    <w:name w:val="Char"/>
    <w:basedOn w:val="1"/>
    <w:qFormat/>
    <w:uiPriority w:val="0"/>
    <w:pPr>
      <w:widowControl/>
      <w:spacing w:after="160" w:line="240" w:lineRule="exact"/>
      <w:jc w:val="left"/>
    </w:pPr>
    <w:rPr>
      <w:rFonts w:ascii="Verdana" w:hAnsi="Verdana" w:eastAsia="仿宋_GB2312"/>
      <w:kern w:val="0"/>
      <w:sz w:val="24"/>
      <w:szCs w:val="20"/>
      <w:lang w:eastAsia="en-US"/>
    </w:rPr>
  </w:style>
  <w:style w:type="paragraph" w:styleId="11">
    <w:name w:val="List Paragraph"/>
    <w:basedOn w:val="1"/>
    <w:qFormat/>
    <w:uiPriority w:val="34"/>
    <w:pPr>
      <w:ind w:firstLine="420" w:firstLineChars="200"/>
    </w:pPr>
  </w:style>
  <w:style w:type="character" w:customStyle="1" w:styleId="12">
    <w:name w:val="页眉 Char"/>
    <w:basedOn w:val="7"/>
    <w:link w:val="6"/>
    <w:semiHidden/>
    <w:qFormat/>
    <w:uiPriority w:val="99"/>
    <w:rPr>
      <w:sz w:val="18"/>
      <w:szCs w:val="18"/>
    </w:rPr>
  </w:style>
  <w:style w:type="character" w:customStyle="1" w:styleId="13">
    <w:name w:val="页脚 Char"/>
    <w:basedOn w:val="7"/>
    <w:link w:val="5"/>
    <w:qFormat/>
    <w:uiPriority w:val="99"/>
    <w:rPr>
      <w:sz w:val="18"/>
      <w:szCs w:val="18"/>
    </w:rPr>
  </w:style>
  <w:style w:type="character" w:customStyle="1" w:styleId="14">
    <w:name w:val="正文文本缩进 Char"/>
    <w:basedOn w:val="7"/>
    <w:link w:val="3"/>
    <w:qFormat/>
    <w:uiPriority w:val="0"/>
    <w:rPr>
      <w:rFonts w:ascii="宋体" w:hAnsi="宋体" w:eastAsia="宋体" w:cs="Times New Roman"/>
      <w:sz w:val="32"/>
      <w:szCs w:val="24"/>
    </w:rPr>
  </w:style>
  <w:style w:type="character" w:customStyle="1" w:styleId="15">
    <w:name w:val="日期 Char"/>
    <w:basedOn w:val="7"/>
    <w:link w:val="4"/>
    <w:semiHidden/>
    <w:qFormat/>
    <w:uiPriority w:val="99"/>
    <w:rPr>
      <w:rFonts w:ascii="Times New Roman" w:hAnsi="Times New Roman"/>
      <w:kern w:val="2"/>
      <w:sz w:val="21"/>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767</Words>
  <Characters>4377</Characters>
  <Lines>36</Lines>
  <Paragraphs>10</Paragraphs>
  <TotalTime>0</TotalTime>
  <ScaleCrop>false</ScaleCrop>
  <LinksUpToDate>false</LinksUpToDate>
  <CharactersWithSpaces>5134</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2017-09-01T01:08:00Z</dcterms:created>
  <dc:creator>Sky123.Org</dc:creator>
  <cp:lastModifiedBy>TF-PC</cp:lastModifiedBy>
  <cp:lastPrinted>2017-09-01T00:26:00Z</cp:lastPrinted>
  <dcterms:modified xsi:type="dcterms:W3CDTF">2018-08-27T09:42:25Z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