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jc w:val="center"/>
        <w:rPr>
          <w:rFonts w:ascii="楷体" w:hAnsi="楷体" w:eastAsia="楷体" w:cs="宋体"/>
          <w:color w:val="000000"/>
          <w:kern w:val="0"/>
          <w:sz w:val="44"/>
          <w:szCs w:val="44"/>
        </w:rPr>
      </w:pPr>
      <w:bookmarkStart w:id="0" w:name="_GoBack"/>
      <w:bookmarkEnd w:id="0"/>
      <w:r>
        <w:rPr>
          <w:rFonts w:hint="eastAsia" w:ascii="楷体" w:hAnsi="楷体" w:eastAsia="楷体" w:cs="宋体"/>
          <w:color w:val="000000"/>
          <w:kern w:val="0"/>
          <w:sz w:val="44"/>
          <w:szCs w:val="44"/>
        </w:rPr>
        <w:t>天津市河西区人民法院</w:t>
      </w:r>
    </w:p>
    <w:p>
      <w:pPr>
        <w:widowControl/>
        <w:adjustRightInd w:val="0"/>
        <w:snapToGrid w:val="0"/>
        <w:spacing w:line="360" w:lineRule="auto"/>
        <w:jc w:val="center"/>
        <w:rPr>
          <w:rFonts w:hint="eastAsia" w:ascii="黑体" w:hAnsi="黑体" w:eastAsia="黑体"/>
          <w:color w:val="000000"/>
          <w:kern w:val="0"/>
          <w:sz w:val="52"/>
          <w:szCs w:val="52"/>
        </w:rPr>
      </w:pPr>
      <w:r>
        <w:rPr>
          <w:rFonts w:hint="eastAsia" w:ascii="黑体" w:hAnsi="黑体" w:eastAsia="黑体"/>
          <w:color w:val="000000"/>
          <w:kern w:val="0"/>
          <w:sz w:val="52"/>
          <w:szCs w:val="52"/>
        </w:rPr>
        <w:t>刑 事 判 决 书</w:t>
      </w:r>
    </w:p>
    <w:p>
      <w:pPr>
        <w:spacing w:line="500" w:lineRule="exact"/>
        <w:ind w:right="175"/>
        <w:rPr>
          <w:rFonts w:hint="eastAsia" w:ascii="仿宋" w:hAnsi="仿宋" w:eastAsia="仿宋"/>
          <w:color w:val="000000"/>
          <w:kern w:val="0"/>
          <w:sz w:val="32"/>
          <w:szCs w:val="32"/>
        </w:rPr>
      </w:pPr>
    </w:p>
    <w:p>
      <w:pPr>
        <w:spacing w:line="500" w:lineRule="exact"/>
        <w:ind w:right="175"/>
        <w:jc w:val="right"/>
        <w:rPr>
          <w:rFonts w:eastAsia="仿宋"/>
          <w:sz w:val="32"/>
          <w:szCs w:val="32"/>
        </w:rPr>
      </w:pPr>
      <w:r>
        <w:rPr>
          <w:rFonts w:ascii="仿宋" w:hAnsi="仿宋" w:eastAsia="仿宋"/>
          <w:color w:val="000000"/>
          <w:kern w:val="0"/>
          <w:sz w:val="32"/>
          <w:szCs w:val="32"/>
        </w:rPr>
        <w:t xml:space="preserve">      </w:t>
      </w:r>
      <w:r>
        <w:rPr>
          <w:rFonts w:hAnsi="仿宋" w:eastAsia="仿宋"/>
          <w:sz w:val="32"/>
          <w:szCs w:val="32"/>
        </w:rPr>
        <w:t>（</w:t>
      </w: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）津</w:t>
      </w:r>
      <w:r>
        <w:rPr>
          <w:rFonts w:eastAsia="仿宋"/>
          <w:sz w:val="32"/>
          <w:szCs w:val="32"/>
        </w:rPr>
        <w:t>0103</w:t>
      </w:r>
      <w:r>
        <w:rPr>
          <w:rFonts w:hAnsi="仿宋" w:eastAsia="仿宋"/>
          <w:sz w:val="32"/>
          <w:szCs w:val="32"/>
        </w:rPr>
        <w:t>刑初</w:t>
      </w:r>
      <w:r>
        <w:rPr>
          <w:rFonts w:eastAsia="仿宋"/>
          <w:sz w:val="32"/>
          <w:szCs w:val="32"/>
        </w:rPr>
        <w:t>150</w:t>
      </w:r>
      <w:r>
        <w:rPr>
          <w:rFonts w:hAnsi="仿宋" w:eastAsia="仿宋"/>
          <w:sz w:val="32"/>
          <w:szCs w:val="32"/>
        </w:rPr>
        <w:t>号</w:t>
      </w:r>
    </w:p>
    <w:p>
      <w:pPr>
        <w:spacing w:line="500" w:lineRule="exact"/>
        <w:ind w:right="175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5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被告人李长悦，男，</w:t>
      </w:r>
      <w:r>
        <w:rPr>
          <w:rFonts w:eastAsia="仿宋"/>
          <w:sz w:val="32"/>
          <w:szCs w:val="32"/>
        </w:rPr>
        <w:t>1988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2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12</w:t>
      </w:r>
      <w:r>
        <w:rPr>
          <w:rFonts w:hAnsi="仿宋" w:eastAsia="仿宋"/>
          <w:sz w:val="32"/>
          <w:szCs w:val="32"/>
        </w:rPr>
        <w:t>日出生于天津市，公民身份号码：</w:t>
      </w:r>
      <w:r>
        <w:rPr>
          <w:rFonts w:eastAsia="仿宋"/>
          <w:sz w:val="32"/>
          <w:szCs w:val="32"/>
        </w:rPr>
        <w:t>120105198802120313</w:t>
      </w:r>
      <w:r>
        <w:rPr>
          <w:rFonts w:hAnsi="仿宋" w:eastAsia="仿宋"/>
          <w:sz w:val="32"/>
          <w:szCs w:val="32"/>
        </w:rPr>
        <w:t>，汉族，大学专科文化，无职业，住天津市西青区旭水蓝轩</w:t>
      </w:r>
      <w:r>
        <w:rPr>
          <w:rFonts w:eastAsia="仿宋"/>
          <w:sz w:val="32"/>
          <w:szCs w:val="32"/>
        </w:rPr>
        <w:t>1-3-501</w:t>
      </w:r>
      <w:r>
        <w:rPr>
          <w:rFonts w:hAnsi="仿宋" w:eastAsia="仿宋"/>
          <w:sz w:val="32"/>
          <w:szCs w:val="32"/>
        </w:rPr>
        <w:t>，户籍地天津市河北区北安道</w:t>
      </w:r>
      <w:r>
        <w:rPr>
          <w:rFonts w:eastAsia="仿宋"/>
          <w:sz w:val="32"/>
          <w:szCs w:val="32"/>
        </w:rPr>
        <w:t>37</w:t>
      </w:r>
      <w:r>
        <w:rPr>
          <w:rFonts w:hAnsi="仿宋" w:eastAsia="仿宋"/>
          <w:sz w:val="32"/>
          <w:szCs w:val="32"/>
        </w:rPr>
        <w:t>号，</w:t>
      </w: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29</w:t>
      </w:r>
      <w:r>
        <w:rPr>
          <w:rFonts w:hAnsi="仿宋" w:eastAsia="仿宋"/>
          <w:sz w:val="32"/>
          <w:szCs w:val="32"/>
        </w:rPr>
        <w:t>日被刑事拘留，</w:t>
      </w: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2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日因涉嫌犯有信用卡诈骗罪被取保候审。</w:t>
      </w:r>
    </w:p>
    <w:p>
      <w:pPr>
        <w:spacing w:line="500" w:lineRule="exact"/>
        <w:ind w:firstLine="645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辩护人兰基钢，天津日久律师事务所律师。</w:t>
      </w:r>
    </w:p>
    <w:p>
      <w:pPr>
        <w:spacing w:line="500" w:lineRule="exact"/>
        <w:ind w:firstLine="645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天津市河西区人民检察院以津西检公诉刑诉</w:t>
      </w:r>
      <w:r>
        <w:rPr>
          <w:rFonts w:eastAsia="仿宋"/>
          <w:sz w:val="32"/>
          <w:szCs w:val="32"/>
        </w:rPr>
        <w:t>[2018]139</w:t>
      </w:r>
      <w:r>
        <w:rPr>
          <w:rFonts w:hAnsi="仿宋" w:eastAsia="仿宋"/>
          <w:sz w:val="32"/>
          <w:szCs w:val="32"/>
        </w:rPr>
        <w:t>号起诉书指控被告人李长悦犯信用卡诈骗罪，于</w:t>
      </w: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3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27</w:t>
      </w:r>
      <w:r>
        <w:rPr>
          <w:rFonts w:hAnsi="仿宋" w:eastAsia="仿宋"/>
          <w:sz w:val="32"/>
          <w:szCs w:val="32"/>
        </w:rPr>
        <w:t>日向本院提起公诉，并提出量刑建议。</w:t>
      </w:r>
      <w:r>
        <w:rPr>
          <w:rFonts w:eastAsia="仿宋_GB2312"/>
          <w:kern w:val="0"/>
          <w:sz w:val="32"/>
          <w:szCs w:val="32"/>
        </w:rPr>
        <w:t>本院依法适用简易程序，实行独任审判，公开开庭审理了本案。</w:t>
      </w:r>
      <w:r>
        <w:rPr>
          <w:rFonts w:hAnsi="仿宋" w:eastAsia="仿宋"/>
          <w:sz w:val="32"/>
          <w:szCs w:val="32"/>
        </w:rPr>
        <w:t>天津市河西区人民检察院指派检察员刘鸿芸出庭支持公诉，被告人李长悦及其辩护人兰基钢到庭参加了诉讼。现已审理终结。</w:t>
      </w:r>
    </w:p>
    <w:p>
      <w:pPr>
        <w:spacing w:line="500" w:lineRule="exact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天津市河西区人民检察院指控：</w:t>
      </w:r>
      <w:r>
        <w:rPr>
          <w:rFonts w:eastAsia="仿宋"/>
          <w:sz w:val="32"/>
          <w:szCs w:val="32"/>
        </w:rPr>
        <w:t>2015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12</w:t>
      </w:r>
      <w:r>
        <w:rPr>
          <w:rFonts w:hAnsi="仿宋" w:eastAsia="仿宋"/>
          <w:sz w:val="32"/>
          <w:szCs w:val="32"/>
        </w:rPr>
        <w:t>月，被告人李长悦利用王某向其提供的用于贷款的个人资料，在王某不知情的情况下，通过中介公司，冒用王某身份证明申领卡号为</w:t>
      </w:r>
      <w:r>
        <w:rPr>
          <w:rFonts w:eastAsia="仿宋"/>
          <w:sz w:val="32"/>
          <w:szCs w:val="32"/>
        </w:rPr>
        <w:t>6258212002286695</w:t>
      </w:r>
      <w:r>
        <w:rPr>
          <w:rFonts w:hAnsi="仿宋" w:eastAsia="仿宋"/>
          <w:sz w:val="32"/>
          <w:szCs w:val="32"/>
        </w:rPr>
        <w:t>的浙商银行信用卡一张，在明知自己不具备偿还能力的情况下，开通后使用该卡大额套现用于个人生活消费，并恶意透支。被告人李长悦于</w:t>
      </w:r>
      <w:r>
        <w:rPr>
          <w:rFonts w:eastAsia="仿宋"/>
          <w:sz w:val="32"/>
          <w:szCs w:val="32"/>
        </w:rPr>
        <w:t>2016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3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22</w:t>
      </w:r>
      <w:r>
        <w:rPr>
          <w:rFonts w:hAnsi="仿宋" w:eastAsia="仿宋"/>
          <w:sz w:val="32"/>
          <w:szCs w:val="32"/>
        </w:rPr>
        <w:t>日最后一次还款</w:t>
      </w:r>
      <w:r>
        <w:rPr>
          <w:rFonts w:eastAsia="仿宋"/>
          <w:sz w:val="32"/>
          <w:szCs w:val="32"/>
        </w:rPr>
        <w:t>4600</w:t>
      </w:r>
      <w:r>
        <w:rPr>
          <w:rFonts w:hAnsi="仿宋" w:eastAsia="仿宋"/>
          <w:sz w:val="32"/>
          <w:szCs w:val="32"/>
        </w:rPr>
        <w:t>元后再无还款。后经浙商银行工作人员多次催收仍拒不还款。截至</w:t>
      </w:r>
      <w:r>
        <w:rPr>
          <w:rFonts w:eastAsia="仿宋"/>
          <w:sz w:val="32"/>
          <w:szCs w:val="32"/>
        </w:rPr>
        <w:t>2017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9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日，被告人李长悦使用该信用卡欠款金额人民币</w:t>
      </w:r>
      <w:r>
        <w:rPr>
          <w:rFonts w:eastAsia="仿宋"/>
          <w:sz w:val="32"/>
          <w:szCs w:val="32"/>
        </w:rPr>
        <w:t>23546.03</w:t>
      </w:r>
      <w:r>
        <w:rPr>
          <w:rFonts w:hAnsi="仿宋" w:eastAsia="仿宋"/>
          <w:sz w:val="32"/>
          <w:szCs w:val="32"/>
        </w:rPr>
        <w:t>元。其中本金人民币</w:t>
      </w:r>
      <w:r>
        <w:rPr>
          <w:rFonts w:eastAsia="仿宋"/>
          <w:sz w:val="32"/>
          <w:szCs w:val="32"/>
        </w:rPr>
        <w:t>19980</w:t>
      </w:r>
      <w:r>
        <w:rPr>
          <w:rFonts w:hAnsi="仿宋" w:eastAsia="仿宋"/>
          <w:sz w:val="32"/>
          <w:szCs w:val="32"/>
        </w:rPr>
        <w:t>元。</w:t>
      </w:r>
      <w:r>
        <w:rPr>
          <w:rFonts w:eastAsia="仿宋"/>
          <w:sz w:val="32"/>
          <w:szCs w:val="32"/>
        </w:rPr>
        <w:t>2017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9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28</w:t>
      </w:r>
      <w:r>
        <w:rPr>
          <w:rFonts w:hAnsi="仿宋" w:eastAsia="仿宋"/>
          <w:sz w:val="32"/>
          <w:szCs w:val="32"/>
        </w:rPr>
        <w:t>日浙商银行向公安机关报案。</w:t>
      </w:r>
    </w:p>
    <w:p>
      <w:pPr>
        <w:spacing w:line="500" w:lineRule="exact"/>
        <w:ind w:firstLine="645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29</w:t>
      </w:r>
      <w:r>
        <w:rPr>
          <w:rFonts w:hAnsi="仿宋" w:eastAsia="仿宋"/>
          <w:sz w:val="32"/>
          <w:szCs w:val="32"/>
        </w:rPr>
        <w:t>日公安</w:t>
      </w:r>
      <w:r>
        <w:rPr>
          <w:rFonts w:hint="eastAsia" w:hAnsi="仿宋" w:eastAsia="仿宋"/>
          <w:sz w:val="32"/>
          <w:szCs w:val="32"/>
        </w:rPr>
        <w:t>机关</w:t>
      </w:r>
      <w:r>
        <w:rPr>
          <w:rFonts w:hAnsi="仿宋" w:eastAsia="仿宋"/>
          <w:sz w:val="32"/>
          <w:szCs w:val="32"/>
        </w:rPr>
        <w:t>在天津市南开区汾水道</w:t>
      </w:r>
      <w:r>
        <w:rPr>
          <w:rFonts w:eastAsia="仿宋"/>
          <w:sz w:val="32"/>
          <w:szCs w:val="32"/>
        </w:rPr>
        <w:t>“</w:t>
      </w:r>
      <w:r>
        <w:rPr>
          <w:rFonts w:hAnsi="仿宋" w:eastAsia="仿宋"/>
          <w:sz w:val="32"/>
          <w:szCs w:val="32"/>
        </w:rPr>
        <w:t>好东东</w:t>
      </w:r>
      <w:r>
        <w:rPr>
          <w:rFonts w:eastAsia="仿宋"/>
          <w:sz w:val="32"/>
          <w:szCs w:val="32"/>
        </w:rPr>
        <w:t>”</w:t>
      </w:r>
      <w:r>
        <w:rPr>
          <w:rFonts w:hAnsi="仿宋" w:eastAsia="仿宋"/>
          <w:sz w:val="32"/>
          <w:szCs w:val="32"/>
        </w:rPr>
        <w:t>网吧将被告人李长悦抓获。案发后，被告人李长悦的家属于</w:t>
      </w: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2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日已将欠款结清。</w:t>
      </w:r>
    </w:p>
    <w:p>
      <w:pPr>
        <w:spacing w:line="500" w:lineRule="exact"/>
        <w:ind w:firstLine="645"/>
        <w:rPr>
          <w:rFonts w:hint="eastAsia"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上述事实，被告人李长悦在开庭审理过程中无异议，且表示认罪</w:t>
      </w:r>
      <w:r>
        <w:rPr>
          <w:rFonts w:hint="eastAsia" w:hAnsi="仿宋" w:eastAsia="仿宋"/>
          <w:sz w:val="32"/>
          <w:szCs w:val="32"/>
        </w:rPr>
        <w:t>认罚</w:t>
      </w:r>
      <w:r>
        <w:rPr>
          <w:rFonts w:hAnsi="仿宋" w:eastAsia="仿宋"/>
          <w:sz w:val="32"/>
          <w:szCs w:val="32"/>
        </w:rPr>
        <w:t>，且有信用卡申请资料、使用明细、催收记录、报案材料、谅解书、还款凭证；证人王某的证言；被害单位代理人王某某的陈述；自愿认罪认罚具结书；案件来源及抓获经过等证据证实，足以认定。</w:t>
      </w:r>
    </w:p>
    <w:p>
      <w:pPr>
        <w:spacing w:line="500" w:lineRule="exact"/>
        <w:ind w:firstLine="645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被告人李长悦辩护人对起诉书指控的犯罪事实不表异议，提出被告人李长悦案发后，退赔了全部损失并取得了被害</w:t>
      </w:r>
      <w:r>
        <w:rPr>
          <w:rFonts w:hint="eastAsia" w:hAnsi="仿宋" w:eastAsia="仿宋"/>
          <w:sz w:val="32"/>
          <w:szCs w:val="32"/>
        </w:rPr>
        <w:t>人</w:t>
      </w:r>
      <w:r>
        <w:rPr>
          <w:rFonts w:hAnsi="仿宋" w:eastAsia="仿宋"/>
          <w:sz w:val="32"/>
          <w:szCs w:val="32"/>
        </w:rPr>
        <w:t>谅解，未给金融机构造成损失，提请本院对被告人从轻处罚并适用缓刑的辩护意见。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本院认为，被告人李长悦以非法占有为目的，使用虚假的身份证明骗领信用卡，使用信用卡消费并恶意透支人民币共计</w:t>
      </w:r>
      <w:r>
        <w:rPr>
          <w:rFonts w:eastAsia="仿宋"/>
          <w:sz w:val="32"/>
          <w:szCs w:val="32"/>
        </w:rPr>
        <w:t>19980</w:t>
      </w:r>
      <w:r>
        <w:rPr>
          <w:rFonts w:hAnsi="仿宋" w:eastAsia="仿宋"/>
          <w:sz w:val="32"/>
          <w:szCs w:val="32"/>
        </w:rPr>
        <w:t>元，数额较大，其行为已构成信用卡诈骗罪。被告人李长悦到案后能够如实供述自己的犯罪事实，系坦白，依法可以从轻处罚。被告人李长悦已经偿还了银行的全部欠款本息，酌情可以从轻处罚。被告人李长悦认罪认罚，依法可从轻处罚。辩护人提出的辩护意见较为客观，本院予以采纳。</w:t>
      </w:r>
      <w:r>
        <w:rPr>
          <w:rFonts w:hAnsi="仿宋" w:eastAsia="仿宋"/>
          <w:kern w:val="0"/>
          <w:sz w:val="32"/>
          <w:szCs w:val="32"/>
        </w:rPr>
        <w:t>为严肃国家法律</w:t>
      </w:r>
      <w:r>
        <w:rPr>
          <w:rFonts w:hAnsi="仿宋" w:eastAsia="仿宋"/>
          <w:sz w:val="32"/>
          <w:szCs w:val="32"/>
        </w:rPr>
        <w:t>，</w:t>
      </w:r>
      <w:r>
        <w:rPr>
          <w:rFonts w:hAnsi="仿宋" w:eastAsia="仿宋"/>
          <w:kern w:val="0"/>
          <w:sz w:val="32"/>
          <w:szCs w:val="32"/>
        </w:rPr>
        <w:t>维护金融秩序，依照《中华人民共和国刑法》</w:t>
      </w:r>
      <w:r>
        <w:rPr>
          <w:rFonts w:hAnsi="仿宋" w:eastAsia="仿宋"/>
          <w:sz w:val="32"/>
          <w:szCs w:val="32"/>
        </w:rPr>
        <w:t>第一百九十六条第一款第（一）项，第六十七条第三款</w:t>
      </w:r>
      <w:r>
        <w:rPr>
          <w:rFonts w:hAnsi="仿宋" w:eastAsia="仿宋"/>
          <w:kern w:val="0"/>
          <w:sz w:val="32"/>
          <w:szCs w:val="32"/>
        </w:rPr>
        <w:t>，第七十二条，第七十三条第二款、第三款，第七十五条，第七十六条之规定，判决如下：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一、被告人李长悦犯信用卡诈骗罪，判处有期徒刑一年缓刑一年，并处罚金人民币</w:t>
      </w:r>
      <w:r>
        <w:rPr>
          <w:rFonts w:hint="eastAsia" w:ascii="Times New Roman" w:hAnsi="Times New Roman" w:eastAsia="仿宋" w:cs="Times New Roman"/>
          <w:sz w:val="32"/>
          <w:szCs w:val="32"/>
        </w:rPr>
        <w:t>二万</w:t>
      </w:r>
      <w:r>
        <w:rPr>
          <w:rFonts w:ascii="Times New Roman" w:hAnsi="仿宋" w:eastAsia="仿宋" w:cs="Times New Roman"/>
          <w:sz w:val="32"/>
          <w:szCs w:val="32"/>
        </w:rPr>
        <w:t>元。在（刑罚）执行期间，被告人李长悦应当接受相关组织的社区矫正。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88" w:firstLineChars="215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二、禁止被告人</w:t>
      </w:r>
      <w:r>
        <w:rPr>
          <w:rFonts w:hAnsi="仿宋" w:eastAsia="仿宋"/>
          <w:kern w:val="0"/>
          <w:sz w:val="32"/>
          <w:szCs w:val="32"/>
        </w:rPr>
        <w:t>李长悦</w:t>
      </w:r>
      <w:r>
        <w:rPr>
          <w:rFonts w:hAnsi="仿宋" w:eastAsia="仿宋"/>
          <w:sz w:val="32"/>
          <w:szCs w:val="32"/>
        </w:rPr>
        <w:t>在缓刑期间从事金融借贷及与金融相关的担保活动。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如不服本判决，可在接到判决书的第二日起十日内，通过本院或者直接向天津市第二中级人民法院提出上诉。书面上诉的，应交上诉状正本一份，副本二份。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</w:p>
    <w:p>
      <w:pPr>
        <w:spacing w:line="500" w:lineRule="exact"/>
        <w:jc w:val="right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 xml:space="preserve">                             </w:t>
      </w:r>
    </w:p>
    <w:p>
      <w:pPr>
        <w:spacing w:line="500" w:lineRule="exact"/>
        <w:jc w:val="right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 xml:space="preserve">                               </w:t>
      </w:r>
      <w:r>
        <w:rPr>
          <w:rFonts w:hAnsi="仿宋" w:eastAsia="仿宋"/>
          <w:sz w:val="32"/>
          <w:szCs w:val="32"/>
        </w:rPr>
        <w:t>审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判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杨庆仁</w:t>
      </w:r>
      <w:r>
        <w:rPr>
          <w:rFonts w:eastAsia="仿宋"/>
          <w:sz w:val="32"/>
          <w:szCs w:val="32"/>
        </w:rPr>
        <w:t xml:space="preserve">                               </w:t>
      </w:r>
    </w:p>
    <w:p>
      <w:pPr>
        <w:spacing w:line="500" w:lineRule="exact"/>
        <w:ind w:right="18"/>
        <w:jc w:val="right"/>
        <w:rPr>
          <w:rFonts w:hint="eastAsia" w:hAnsi="仿宋" w:eastAsia="仿宋"/>
          <w:sz w:val="32"/>
          <w:szCs w:val="32"/>
        </w:rPr>
      </w:pPr>
    </w:p>
    <w:p>
      <w:pPr>
        <w:spacing w:line="500" w:lineRule="exact"/>
        <w:ind w:right="18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hAnsi="仿宋" w:eastAsia="仿宋"/>
          <w:sz w:val="32"/>
          <w:szCs w:val="32"/>
        </w:rPr>
        <w:t>一八年四月</w:t>
      </w:r>
      <w:r>
        <w:rPr>
          <w:rFonts w:hint="eastAsia" w:hAnsi="仿宋" w:eastAsia="仿宋"/>
          <w:sz w:val="32"/>
          <w:szCs w:val="32"/>
        </w:rPr>
        <w:t>十一</w:t>
      </w:r>
      <w:r>
        <w:rPr>
          <w:rFonts w:hAnsi="仿宋" w:eastAsia="仿宋"/>
          <w:sz w:val="32"/>
          <w:szCs w:val="32"/>
        </w:rPr>
        <w:t>日</w:t>
      </w:r>
    </w:p>
    <w:p>
      <w:pPr>
        <w:spacing w:line="500" w:lineRule="exact"/>
        <w:ind w:right="18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right="18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书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记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</w:t>
      </w:r>
      <w:r>
        <w:rPr>
          <w:rFonts w:hint="eastAsia" w:eastAsia="仿宋"/>
          <w:sz w:val="32"/>
          <w:szCs w:val="32"/>
        </w:rPr>
        <w:t xml:space="preserve"> </w:t>
      </w:r>
      <w:r>
        <w:rPr>
          <w:rFonts w:eastAsia="仿宋"/>
          <w:sz w:val="32"/>
          <w:szCs w:val="32"/>
        </w:rPr>
        <w:t xml:space="preserve">  </w:t>
      </w:r>
      <w:r>
        <w:rPr>
          <w:rFonts w:hint="eastAsia" w:eastAsia="仿宋"/>
          <w:sz w:val="32"/>
          <w:szCs w:val="32"/>
        </w:rPr>
        <w:t>赵  桓</w:t>
      </w:r>
    </w:p>
    <w:p>
      <w:pPr>
        <w:spacing w:line="500" w:lineRule="exact"/>
        <w:ind w:right="18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速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录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甄鸿银</w:t>
      </w:r>
    </w:p>
    <w:p>
      <w:pPr>
        <w:spacing w:line="500" w:lineRule="exact"/>
        <w:ind w:right="18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right="18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kern w:val="0"/>
          <w:sz w:val="32"/>
          <w:szCs w:val="32"/>
        </w:rPr>
        <w:t>本判决引用的法律条文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第六十七条</w:t>
      </w:r>
      <w:r>
        <w:rPr>
          <w:rFonts w:eastAsia="仿宋"/>
          <w:sz w:val="32"/>
        </w:rPr>
        <w:t xml:space="preserve">   </w:t>
      </w:r>
      <w:r>
        <w:rPr>
          <w:rFonts w:hAnsi="仿宋" w:eastAsia="仿宋"/>
          <w:sz w:val="32"/>
        </w:rPr>
        <w:t>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第七十二条</w:t>
      </w:r>
      <w:r>
        <w:rPr>
          <w:rFonts w:eastAsia="仿宋"/>
          <w:sz w:val="32"/>
        </w:rPr>
        <w:t xml:space="preserve">   </w:t>
      </w:r>
      <w:r>
        <w:rPr>
          <w:rFonts w:hAnsi="仿宋" w:eastAsia="仿宋"/>
          <w:sz w:val="32"/>
        </w:rPr>
        <w:t>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宣告缓刑，可以根据犯罪情况，同时禁止犯罪分子在缓刑考验期限内从事特定活动，进入特定区域、场所，接触特定的人。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第七十三条</w:t>
      </w:r>
      <w:r>
        <w:rPr>
          <w:rFonts w:eastAsia="仿宋"/>
          <w:sz w:val="32"/>
        </w:rPr>
        <w:t xml:space="preserve">   </w:t>
      </w:r>
      <w:r>
        <w:rPr>
          <w:rFonts w:hAnsi="仿宋" w:eastAsia="仿宋"/>
          <w:sz w:val="32"/>
        </w:rPr>
        <w:t>拘役的缓刑考验期限为原判刑期以上，一年以下，但是不能少于二个月。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缓刑考验期限，从判决确定之日起计算。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第七十五条</w:t>
      </w:r>
      <w:r>
        <w:rPr>
          <w:rFonts w:eastAsia="仿宋"/>
          <w:sz w:val="32"/>
        </w:rPr>
        <w:t xml:space="preserve">   </w:t>
      </w:r>
      <w:r>
        <w:rPr>
          <w:rFonts w:hAnsi="仿宋" w:eastAsia="仿宋"/>
          <w:sz w:val="32"/>
        </w:rPr>
        <w:t>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第七十六条</w:t>
      </w:r>
      <w:r>
        <w:rPr>
          <w:rFonts w:eastAsia="仿宋"/>
          <w:sz w:val="32"/>
        </w:rPr>
        <w:t xml:space="preserve">   </w:t>
      </w:r>
      <w:r>
        <w:rPr>
          <w:rFonts w:hAnsi="仿宋" w:eastAsia="仿宋"/>
          <w:sz w:val="32"/>
        </w:rPr>
        <w:t>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第一百九十六条</w:t>
      </w:r>
      <w:r>
        <w:rPr>
          <w:rFonts w:eastAsia="仿宋"/>
          <w:sz w:val="32"/>
        </w:rPr>
        <w:t xml:space="preserve">  </w:t>
      </w:r>
      <w:r>
        <w:rPr>
          <w:rFonts w:hAnsi="仿宋" w:eastAsia="仿宋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（三）冒用他人信用卡的；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盗窃信用卡并使用的，依照本法第二百六十四条的规定定罪处罚。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3E65"/>
    <w:rsid w:val="0000722F"/>
    <w:rsid w:val="00010B97"/>
    <w:rsid w:val="00025F9E"/>
    <w:rsid w:val="000532A1"/>
    <w:rsid w:val="000559F9"/>
    <w:rsid w:val="00061BCB"/>
    <w:rsid w:val="00065245"/>
    <w:rsid w:val="00082DFE"/>
    <w:rsid w:val="000837D9"/>
    <w:rsid w:val="00087B10"/>
    <w:rsid w:val="000B204C"/>
    <w:rsid w:val="000B2490"/>
    <w:rsid w:val="000C79D8"/>
    <w:rsid w:val="000D4D5E"/>
    <w:rsid w:val="0013327E"/>
    <w:rsid w:val="0014297E"/>
    <w:rsid w:val="0017429C"/>
    <w:rsid w:val="001908D2"/>
    <w:rsid w:val="001B3522"/>
    <w:rsid w:val="001B4104"/>
    <w:rsid w:val="001C162B"/>
    <w:rsid w:val="001D2295"/>
    <w:rsid w:val="001D45DB"/>
    <w:rsid w:val="001E0D10"/>
    <w:rsid w:val="001F0F44"/>
    <w:rsid w:val="001F50B5"/>
    <w:rsid w:val="00212D26"/>
    <w:rsid w:val="00216CB0"/>
    <w:rsid w:val="00227178"/>
    <w:rsid w:val="00227A0F"/>
    <w:rsid w:val="002309AC"/>
    <w:rsid w:val="00235377"/>
    <w:rsid w:val="0023636B"/>
    <w:rsid w:val="0025441A"/>
    <w:rsid w:val="0026642D"/>
    <w:rsid w:val="00282A75"/>
    <w:rsid w:val="00286A47"/>
    <w:rsid w:val="002A57D4"/>
    <w:rsid w:val="002E04B9"/>
    <w:rsid w:val="002E6A68"/>
    <w:rsid w:val="002E7E3A"/>
    <w:rsid w:val="00301AF1"/>
    <w:rsid w:val="00312002"/>
    <w:rsid w:val="00317BF7"/>
    <w:rsid w:val="003272D1"/>
    <w:rsid w:val="003377A0"/>
    <w:rsid w:val="00342886"/>
    <w:rsid w:val="003545D0"/>
    <w:rsid w:val="0037559D"/>
    <w:rsid w:val="00376790"/>
    <w:rsid w:val="00395716"/>
    <w:rsid w:val="003B3E65"/>
    <w:rsid w:val="003D5A5F"/>
    <w:rsid w:val="00405338"/>
    <w:rsid w:val="004217DA"/>
    <w:rsid w:val="00433E21"/>
    <w:rsid w:val="0044109E"/>
    <w:rsid w:val="00443E8E"/>
    <w:rsid w:val="00451768"/>
    <w:rsid w:val="004702E7"/>
    <w:rsid w:val="00471FB1"/>
    <w:rsid w:val="00480653"/>
    <w:rsid w:val="004934B4"/>
    <w:rsid w:val="0049533A"/>
    <w:rsid w:val="004C502C"/>
    <w:rsid w:val="004C5AEA"/>
    <w:rsid w:val="004C77C7"/>
    <w:rsid w:val="004E0496"/>
    <w:rsid w:val="004F1428"/>
    <w:rsid w:val="0050063A"/>
    <w:rsid w:val="00524AB7"/>
    <w:rsid w:val="0054147C"/>
    <w:rsid w:val="0054326D"/>
    <w:rsid w:val="0056029B"/>
    <w:rsid w:val="0056081B"/>
    <w:rsid w:val="005712C0"/>
    <w:rsid w:val="00582840"/>
    <w:rsid w:val="00583BB2"/>
    <w:rsid w:val="005A1732"/>
    <w:rsid w:val="005A3AC5"/>
    <w:rsid w:val="005B39D2"/>
    <w:rsid w:val="005B56B0"/>
    <w:rsid w:val="005C2E60"/>
    <w:rsid w:val="005E7E91"/>
    <w:rsid w:val="005F0853"/>
    <w:rsid w:val="005F3E1C"/>
    <w:rsid w:val="005F5497"/>
    <w:rsid w:val="00606CBA"/>
    <w:rsid w:val="00615986"/>
    <w:rsid w:val="00616460"/>
    <w:rsid w:val="0064427F"/>
    <w:rsid w:val="00645660"/>
    <w:rsid w:val="00654B55"/>
    <w:rsid w:val="00665C1E"/>
    <w:rsid w:val="00680F52"/>
    <w:rsid w:val="00681248"/>
    <w:rsid w:val="00685528"/>
    <w:rsid w:val="006B0A7B"/>
    <w:rsid w:val="006B7847"/>
    <w:rsid w:val="006F0495"/>
    <w:rsid w:val="006F18BD"/>
    <w:rsid w:val="006F72CD"/>
    <w:rsid w:val="00705245"/>
    <w:rsid w:val="00706F76"/>
    <w:rsid w:val="00713069"/>
    <w:rsid w:val="0071542B"/>
    <w:rsid w:val="007170F0"/>
    <w:rsid w:val="00732BD6"/>
    <w:rsid w:val="00733126"/>
    <w:rsid w:val="00766991"/>
    <w:rsid w:val="00770551"/>
    <w:rsid w:val="00796A96"/>
    <w:rsid w:val="007A109D"/>
    <w:rsid w:val="007A139C"/>
    <w:rsid w:val="007A5870"/>
    <w:rsid w:val="007A60B4"/>
    <w:rsid w:val="007C5E61"/>
    <w:rsid w:val="007D24B0"/>
    <w:rsid w:val="007D2E8F"/>
    <w:rsid w:val="007E1ECF"/>
    <w:rsid w:val="007E2FA5"/>
    <w:rsid w:val="007F1385"/>
    <w:rsid w:val="007F2583"/>
    <w:rsid w:val="007F3053"/>
    <w:rsid w:val="00802DE3"/>
    <w:rsid w:val="0080745D"/>
    <w:rsid w:val="00817CF3"/>
    <w:rsid w:val="00820F0B"/>
    <w:rsid w:val="00820F99"/>
    <w:rsid w:val="008236CD"/>
    <w:rsid w:val="008406DA"/>
    <w:rsid w:val="00870677"/>
    <w:rsid w:val="00874D8D"/>
    <w:rsid w:val="00885227"/>
    <w:rsid w:val="00890C79"/>
    <w:rsid w:val="008B040E"/>
    <w:rsid w:val="008C7BAD"/>
    <w:rsid w:val="008C7FC5"/>
    <w:rsid w:val="008D088F"/>
    <w:rsid w:val="008E15C1"/>
    <w:rsid w:val="008E62FB"/>
    <w:rsid w:val="008F1A53"/>
    <w:rsid w:val="00901179"/>
    <w:rsid w:val="00903033"/>
    <w:rsid w:val="00914FE8"/>
    <w:rsid w:val="00923BA0"/>
    <w:rsid w:val="00934DA6"/>
    <w:rsid w:val="00953FA2"/>
    <w:rsid w:val="009543BC"/>
    <w:rsid w:val="00980539"/>
    <w:rsid w:val="009840B6"/>
    <w:rsid w:val="009871C9"/>
    <w:rsid w:val="00987B65"/>
    <w:rsid w:val="00991B74"/>
    <w:rsid w:val="009A10B6"/>
    <w:rsid w:val="009F1241"/>
    <w:rsid w:val="009F290C"/>
    <w:rsid w:val="009F41CC"/>
    <w:rsid w:val="00A153B1"/>
    <w:rsid w:val="00A25CE1"/>
    <w:rsid w:val="00A31633"/>
    <w:rsid w:val="00A32125"/>
    <w:rsid w:val="00A50034"/>
    <w:rsid w:val="00A669F7"/>
    <w:rsid w:val="00A908F8"/>
    <w:rsid w:val="00A91049"/>
    <w:rsid w:val="00A979CD"/>
    <w:rsid w:val="00AA16E8"/>
    <w:rsid w:val="00AA7381"/>
    <w:rsid w:val="00AB6690"/>
    <w:rsid w:val="00AD5803"/>
    <w:rsid w:val="00AE5AA4"/>
    <w:rsid w:val="00AF1AD8"/>
    <w:rsid w:val="00B045C2"/>
    <w:rsid w:val="00B05D42"/>
    <w:rsid w:val="00B15767"/>
    <w:rsid w:val="00B23A5A"/>
    <w:rsid w:val="00B2413A"/>
    <w:rsid w:val="00B4199E"/>
    <w:rsid w:val="00B5198C"/>
    <w:rsid w:val="00B634C0"/>
    <w:rsid w:val="00B71A78"/>
    <w:rsid w:val="00B73C2E"/>
    <w:rsid w:val="00BA7401"/>
    <w:rsid w:val="00BB2D91"/>
    <w:rsid w:val="00BB56B3"/>
    <w:rsid w:val="00BC55B1"/>
    <w:rsid w:val="00BD3A1F"/>
    <w:rsid w:val="00BD6A1C"/>
    <w:rsid w:val="00C11441"/>
    <w:rsid w:val="00C154FF"/>
    <w:rsid w:val="00C33F3A"/>
    <w:rsid w:val="00C352E6"/>
    <w:rsid w:val="00C52F65"/>
    <w:rsid w:val="00C55C6A"/>
    <w:rsid w:val="00C61B0C"/>
    <w:rsid w:val="00C70497"/>
    <w:rsid w:val="00C729C4"/>
    <w:rsid w:val="00C86687"/>
    <w:rsid w:val="00CB0229"/>
    <w:rsid w:val="00CB0328"/>
    <w:rsid w:val="00CB3AAA"/>
    <w:rsid w:val="00CC064F"/>
    <w:rsid w:val="00CD7C59"/>
    <w:rsid w:val="00CE41BC"/>
    <w:rsid w:val="00CF609C"/>
    <w:rsid w:val="00D27F6F"/>
    <w:rsid w:val="00D477CB"/>
    <w:rsid w:val="00D5191E"/>
    <w:rsid w:val="00D70A92"/>
    <w:rsid w:val="00D75009"/>
    <w:rsid w:val="00D84378"/>
    <w:rsid w:val="00D873F5"/>
    <w:rsid w:val="00DA3805"/>
    <w:rsid w:val="00DB4D0F"/>
    <w:rsid w:val="00DC28CF"/>
    <w:rsid w:val="00DD103C"/>
    <w:rsid w:val="00DD7E92"/>
    <w:rsid w:val="00E21986"/>
    <w:rsid w:val="00E232B4"/>
    <w:rsid w:val="00E309B6"/>
    <w:rsid w:val="00E31B2D"/>
    <w:rsid w:val="00E32BFA"/>
    <w:rsid w:val="00E42C0C"/>
    <w:rsid w:val="00E451AE"/>
    <w:rsid w:val="00E50805"/>
    <w:rsid w:val="00EA35A9"/>
    <w:rsid w:val="00EB13A0"/>
    <w:rsid w:val="00EC09C8"/>
    <w:rsid w:val="00EC5A01"/>
    <w:rsid w:val="00ED551B"/>
    <w:rsid w:val="00ED5C5A"/>
    <w:rsid w:val="00EE3455"/>
    <w:rsid w:val="00EF0BF1"/>
    <w:rsid w:val="00EF63F3"/>
    <w:rsid w:val="00F16E0C"/>
    <w:rsid w:val="00F23EE2"/>
    <w:rsid w:val="00F27DBF"/>
    <w:rsid w:val="00F30C64"/>
    <w:rsid w:val="00F4535B"/>
    <w:rsid w:val="00F51DAF"/>
    <w:rsid w:val="00F641B3"/>
    <w:rsid w:val="00F75D13"/>
    <w:rsid w:val="00F77461"/>
    <w:rsid w:val="00F84E49"/>
    <w:rsid w:val="00F912FE"/>
    <w:rsid w:val="00F969C2"/>
    <w:rsid w:val="00FD2F3A"/>
    <w:rsid w:val="00FE1B71"/>
    <w:rsid w:val="00FE3DE4"/>
    <w:rsid w:val="00FE5746"/>
    <w:rsid w:val="00FE719B"/>
    <w:rsid w:val="00FF0869"/>
    <w:rsid w:val="103A28AF"/>
    <w:rsid w:val="3E7F0835"/>
    <w:rsid w:val="41AD1ED3"/>
    <w:rsid w:val="49DA4342"/>
    <w:rsid w:val="796379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styleId="2">
    <w:name w:val="Plain Text"/>
    <w:basedOn w:val="1"/>
    <w:link w:val="12"/>
    <w:unhideWhenUsed/>
    <w:uiPriority w:val="99"/>
    <w:rPr>
      <w:rFonts w:ascii="宋体" w:hAnsi="Courier New" w:cs="Courier New"/>
      <w:szCs w:val="21"/>
    </w:rPr>
  </w:style>
  <w:style w:type="paragraph" w:styleId="3">
    <w:name w:val="Date"/>
    <w:basedOn w:val="1"/>
    <w:next w:val="1"/>
    <w:link w:val="11"/>
    <w:uiPriority w:val="0"/>
    <w:pPr>
      <w:ind w:left="100" w:leftChars="2500"/>
    </w:pPr>
  </w:style>
  <w:style w:type="paragraph" w:styleId="4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9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1">
    <w:name w:val="日期 Char"/>
    <w:basedOn w:val="6"/>
    <w:link w:val="3"/>
    <w:qFormat/>
    <w:uiPriority w:val="0"/>
    <w:rPr>
      <w:kern w:val="2"/>
      <w:sz w:val="21"/>
      <w:szCs w:val="24"/>
    </w:rPr>
  </w:style>
  <w:style w:type="character" w:customStyle="1" w:styleId="12">
    <w:name w:val="纯文本 Char"/>
    <w:basedOn w:val="6"/>
    <w:link w:val="2"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5</Pages>
  <Words>394</Words>
  <Characters>2252</Characters>
  <Lines>18</Lines>
  <Paragraphs>5</Paragraphs>
  <TotalTime>0</TotalTime>
  <ScaleCrop>false</ScaleCrop>
  <LinksUpToDate>false</LinksUpToDate>
  <CharactersWithSpaces>2641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2018-04-02T06:43:00Z</dcterms:created>
  <dc:creator>MC SYSTEM</dc:creator>
  <cp:lastModifiedBy>TF-PC</cp:lastModifiedBy>
  <dcterms:modified xsi:type="dcterms:W3CDTF">2018-08-27T09:42:34Z</dcterms:modified>
  <dc:title>天津市河西区人民法院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