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jc w:val="center"/>
        <w:rPr>
          <w:rFonts w:ascii="宋体" w:hAnsi="宋体" w:eastAsia="宋体"/>
          <w:sz w:val="44"/>
          <w:szCs w:val="44"/>
        </w:rPr>
      </w:pPr>
      <w:bookmarkStart w:id="0" w:name="_GoBack"/>
      <w:bookmarkEnd w:id="0"/>
      <w:r>
        <w:rPr>
          <w:rFonts w:hint="eastAsia" w:ascii="宋体" w:hAnsi="宋体" w:eastAsia="宋体"/>
          <w:sz w:val="44"/>
          <w:szCs w:val="44"/>
        </w:rPr>
        <w:t>天津市北辰区人民法院</w:t>
      </w:r>
    </w:p>
    <w:p>
      <w:pPr>
        <w:spacing w:line="800" w:lineRule="exact"/>
        <w:jc w:val="center"/>
        <w:rPr>
          <w:rFonts w:hint="eastAsia" w:ascii="宋体" w:hAnsi="宋体" w:eastAsia="宋体"/>
          <w:spacing w:val="50"/>
          <w:sz w:val="52"/>
          <w:szCs w:val="52"/>
        </w:rPr>
      </w:pPr>
      <w:r>
        <w:rPr>
          <w:rFonts w:hint="eastAsia" w:ascii="宋体" w:hAnsi="宋体" w:eastAsia="宋体"/>
          <w:spacing w:val="50"/>
          <w:sz w:val="52"/>
          <w:szCs w:val="52"/>
        </w:rPr>
        <w:t>刑 事 判 决 书</w:t>
      </w:r>
    </w:p>
    <w:p>
      <w:pPr>
        <w:snapToGrid w:val="0"/>
        <w:spacing w:line="520" w:lineRule="exact"/>
        <w:jc w:val="right"/>
        <w:rPr>
          <w:rFonts w:hAnsi="宋体"/>
          <w:szCs w:val="32"/>
        </w:rPr>
      </w:pPr>
      <w:r>
        <w:rPr>
          <w:rFonts w:hint="eastAsia"/>
          <w:szCs w:val="32"/>
        </w:rPr>
        <w:t>〔2013〕</w:t>
      </w:r>
      <w:r>
        <w:rPr>
          <w:rFonts w:hint="eastAsia" w:hAnsi="宋体"/>
          <w:szCs w:val="32"/>
        </w:rPr>
        <w:t>辰刑初字第275号</w:t>
      </w:r>
    </w:p>
    <w:p>
      <w:pPr>
        <w:spacing w:line="520" w:lineRule="exact"/>
        <w:ind w:right="672" w:firstLine="672" w:firstLineChars="200"/>
        <w:rPr>
          <w:rFonts w:hint="eastAsia"/>
        </w:rPr>
      </w:pPr>
      <w:r>
        <w:rPr>
          <w:rFonts w:hint="eastAsia"/>
        </w:rPr>
        <w:t>公诉机关天津市北辰区人民检察院。</w:t>
      </w:r>
    </w:p>
    <w:p>
      <w:pPr>
        <w:spacing w:line="520" w:lineRule="exact"/>
        <w:ind w:firstLine="648" w:firstLineChars="200"/>
        <w:rPr>
          <w:rFonts w:hint="eastAsia"/>
          <w:color w:val="000000"/>
          <w:spacing w:val="-6"/>
          <w:szCs w:val="32"/>
        </w:rPr>
      </w:pPr>
      <w:r>
        <w:rPr>
          <w:rFonts w:hint="eastAsia"/>
          <w:color w:val="000000"/>
          <w:spacing w:val="-6"/>
          <w:szCs w:val="32"/>
        </w:rPr>
        <w:t>被告人刘求花，女，1990年10月15日出生，身份证号码：432524199010158049，汉族，初中二年级文化，农民，现住天津市北辰区双街镇经济开发区怡景湾会馆员工宿舍（户籍地：湖南省新化县油溪乡同心村第三村民小组040号）。因涉嫌犯信用卡诈骗罪于2013年4月10日被天津市公安局北辰分局刑事拘留，同年4月17日被天津市公安局北辰分局取保候审。</w:t>
      </w:r>
    </w:p>
    <w:p>
      <w:pPr>
        <w:spacing w:line="520" w:lineRule="exact"/>
        <w:ind w:firstLine="648" w:firstLineChars="200"/>
        <w:rPr>
          <w:rFonts w:hint="eastAsia"/>
          <w:color w:val="000000"/>
          <w:spacing w:val="-6"/>
          <w:szCs w:val="32"/>
        </w:rPr>
      </w:pPr>
      <w:r>
        <w:rPr>
          <w:rFonts w:hint="eastAsia"/>
          <w:color w:val="000000"/>
          <w:spacing w:val="-6"/>
          <w:szCs w:val="32"/>
        </w:rPr>
        <w:t>辩护人黄俊成，天津知方律师事务所律师。</w:t>
      </w:r>
    </w:p>
    <w:p>
      <w:pPr>
        <w:spacing w:line="520" w:lineRule="exact"/>
        <w:ind w:firstLine="672" w:firstLineChars="200"/>
        <w:rPr>
          <w:rFonts w:hint="eastAsia"/>
          <w:szCs w:val="32"/>
        </w:rPr>
      </w:pPr>
      <w:r>
        <w:rPr>
          <w:rFonts w:hint="eastAsia"/>
          <w:szCs w:val="32"/>
        </w:rPr>
        <w:t>天津市北辰区人民检察院以津辰检刑诉[2013]180号起诉书指控被告人刘求花犯信用卡诈骗罪，于2013年5月24日向本院提起公诉。本院依法组成合议庭，公开开庭审理了本案。天津市北辰区人民检察院指派代理检察员肖湘出庭支持公诉，被告人刘求花及其辩护人黄俊成到庭参加诉讼。现已审理终结。</w:t>
      </w:r>
    </w:p>
    <w:p>
      <w:pPr>
        <w:spacing w:line="520" w:lineRule="exact"/>
        <w:ind w:firstLine="672" w:firstLineChars="200"/>
        <w:rPr>
          <w:rFonts w:hint="eastAsia"/>
          <w:szCs w:val="32"/>
        </w:rPr>
      </w:pPr>
      <w:r>
        <w:rPr>
          <w:rFonts w:hint="eastAsia"/>
          <w:szCs w:val="32"/>
        </w:rPr>
        <w:t>天津市北辰区人民检察院指控，2013年1月某日，被告人刘求花在天津市北辰区经济开发区中荣公司附近，拾得被害人田学振丢失的卡号为6225880227842391的招商银行加密银行卡一张。同年3月某日，刘求花试出该招商银行卡密码后，查询得知该卡内存有人民币2万余元。同年3月30日，刘求花在农业银行天津北辰开发区支行的ATM自动柜员机上，从该招商银行卡内支取现金人民币2万元，后于同年4月1日转存入自己卡号为6228480028014936778的农业银行卡内。</w:t>
      </w:r>
    </w:p>
    <w:p>
      <w:pPr>
        <w:spacing w:line="520" w:lineRule="exact"/>
        <w:ind w:firstLine="672" w:firstLineChars="200"/>
        <w:rPr>
          <w:rFonts w:hint="eastAsia"/>
          <w:szCs w:val="32"/>
        </w:rPr>
      </w:pPr>
      <w:r>
        <w:rPr>
          <w:rFonts w:hint="eastAsia"/>
          <w:szCs w:val="32"/>
        </w:rPr>
        <w:t>针对指控的事实，公诉机关提供了相应的证据材料，认为被告人刘求花的行为，已触犯《中华人民共和国刑法》第一百九十六条第一款之规定，应以信用卡诈骗罪追究其刑事责任，并建议对被告人刘求花判处有期徒刑一至二年，可以适用缓刑，并处罚金。</w:t>
      </w:r>
    </w:p>
    <w:p>
      <w:pPr>
        <w:spacing w:line="520" w:lineRule="exact"/>
        <w:ind w:firstLine="672" w:firstLineChars="200"/>
        <w:rPr>
          <w:rFonts w:hint="eastAsia"/>
          <w:szCs w:val="32"/>
        </w:rPr>
      </w:pPr>
      <w:r>
        <w:rPr>
          <w:rFonts w:hint="eastAsia"/>
          <w:szCs w:val="32"/>
        </w:rPr>
        <w:t>被告人刘求花对于公诉机关指控的犯罪事实和罪名均无异议。其辩护人认为被告人犯罪后认识到自己的错误，积极退赃，认罪态度较好，主动缴纳罚金，被告人系初犯，归案后如实供述自己的犯罪事实，请求对被告人判处缓刑。</w:t>
      </w:r>
    </w:p>
    <w:p>
      <w:pPr>
        <w:spacing w:line="520" w:lineRule="exact"/>
        <w:ind w:firstLine="672" w:firstLineChars="200"/>
        <w:rPr>
          <w:rFonts w:hint="eastAsia"/>
          <w:snapToGrid w:val="0"/>
          <w:kern w:val="0"/>
          <w:szCs w:val="32"/>
        </w:rPr>
      </w:pPr>
      <w:r>
        <w:rPr>
          <w:rFonts w:hint="eastAsia"/>
          <w:snapToGrid w:val="0"/>
          <w:kern w:val="0"/>
          <w:szCs w:val="32"/>
        </w:rPr>
        <w:t>经审理查明，2013年1月某日，被告人刘求花拾得被害人田学振卡号为6225880227842391的招商银行加密银行卡一张。同年3月某日，被告人刘求花试出该招商银行卡密码后，查询发现该卡内存有人民币2万余元。同年3月30日，被告人刘求花在农业银行天津北辰开发区支行的ATM自动柜员机上，从该招商银行卡内提取现金人民币2万元，后于同年4月1日转存入自己卡号为6228480028014936778的农业银行卡内。田学振发现其招商银行卡内的钱被人取走后，于同年4月2日到公安机关报案。同年4月10日，被告人刘求花被公安机关传唤到案。</w:t>
      </w:r>
    </w:p>
    <w:p>
      <w:pPr>
        <w:spacing w:line="520" w:lineRule="exact"/>
        <w:ind w:firstLine="672" w:firstLineChars="200"/>
        <w:rPr>
          <w:rFonts w:hint="eastAsia"/>
          <w:snapToGrid w:val="0"/>
          <w:kern w:val="0"/>
          <w:szCs w:val="32"/>
        </w:rPr>
      </w:pPr>
      <w:r>
        <w:rPr>
          <w:rFonts w:hint="eastAsia"/>
          <w:snapToGrid w:val="0"/>
          <w:kern w:val="0"/>
          <w:szCs w:val="32"/>
        </w:rPr>
        <w:t>另查，案发后，被告人刘求花已经退赔被害人田学振全部经济损失，并已取得被害人田学振的谅解，被害人田学振请求对被告人刘求花从轻处罚。</w:t>
      </w:r>
    </w:p>
    <w:p>
      <w:pPr>
        <w:spacing w:line="520" w:lineRule="exact"/>
        <w:ind w:firstLine="672" w:firstLineChars="200"/>
        <w:rPr>
          <w:rFonts w:hint="eastAsia"/>
          <w:snapToGrid w:val="0"/>
          <w:kern w:val="0"/>
          <w:szCs w:val="32"/>
        </w:rPr>
      </w:pPr>
      <w:r>
        <w:rPr>
          <w:rFonts w:hint="eastAsia"/>
          <w:snapToGrid w:val="0"/>
          <w:kern w:val="0"/>
          <w:szCs w:val="32"/>
        </w:rPr>
        <w:t>上述事实，被告人刘求花在开庭审理中供认不讳，并有证人证言、被告人供述、被害人陈述、光盘、扣押物品、文件清单及发还物品、文件清单、照片、账户交易明细表、申请、案件来源及抓获经过、常住人口信息等证据予以证实，足以认定。</w:t>
      </w:r>
    </w:p>
    <w:p>
      <w:pPr>
        <w:spacing w:line="520" w:lineRule="exact"/>
        <w:ind w:firstLine="672" w:firstLineChars="200"/>
        <w:rPr>
          <w:rFonts w:hint="eastAsia"/>
        </w:rPr>
      </w:pPr>
      <w:r>
        <w:rPr>
          <w:rFonts w:hint="eastAsia"/>
        </w:rPr>
        <w:t>本院认为，被告人刘求花以非法占有为目的，实施信用卡诈骗数额较大的行为，已构成信用卡诈骗罪，依法应予惩处。公诉机关指控被告人刘求花犯信用卡诈骗罪，罪名成立，量刑建议适当，本院予以支持。被告人刘求花到案后如实供述自己的犯罪事实，并已退赔被害人全部经济损失，取得被害人的谅解，依法对其从轻处罚。被告人的辩护人提出的辩护意见，符合法律规定，本院予以采纳。依照《中华人民共和国刑法》第一百九十六条第一款、第五十二条、第五十三条、第六十七条第三款、第七十二条、第七十三条第二款、第三款、第七十五条、第七十六条、《关于办理妨害信用卡管理刑事案件具体应用法律若干问题的解释》第五条第一款、第二款第（一）项的规定，判决如下：</w:t>
      </w:r>
    </w:p>
    <w:p>
      <w:pPr>
        <w:spacing w:line="520" w:lineRule="exact"/>
        <w:ind w:firstLine="672" w:firstLineChars="200"/>
        <w:rPr>
          <w:rFonts w:hint="eastAsia"/>
        </w:rPr>
      </w:pPr>
      <w:r>
        <w:rPr>
          <w:rFonts w:hint="eastAsia"/>
        </w:rPr>
        <w:t>被告人刘求花犯信用卡诈骗罪，判处有期徒刑一年，缓刑二年，并处罚金二万元（已缴纳）。</w:t>
      </w:r>
    </w:p>
    <w:p>
      <w:pPr>
        <w:spacing w:line="520" w:lineRule="exact"/>
        <w:ind w:firstLine="672" w:firstLineChars="200"/>
        <w:rPr>
          <w:rFonts w:hint="eastAsia"/>
        </w:rPr>
      </w:pPr>
      <w:r>
        <w:rPr>
          <w:rFonts w:hint="eastAsia"/>
        </w:rPr>
        <w:t>（缓刑考验期限，从判决确定之日起计算。）</w:t>
      </w:r>
    </w:p>
    <w:p>
      <w:pPr>
        <w:spacing w:line="520" w:lineRule="exact"/>
        <w:ind w:firstLine="672" w:firstLineChars="200"/>
        <w:rPr>
          <w:rFonts w:hint="eastAsia"/>
        </w:rPr>
      </w:pPr>
      <w:r>
        <w:rPr>
          <w:rFonts w:hint="eastAsia"/>
        </w:rPr>
        <w:t>如不服本判决，可在接到判决书的第二日起十日内，通过本院或者直接向天津市第一中级人民法院提出上诉。书面上诉的，应交上诉状正本一份、副本二份。</w:t>
      </w:r>
    </w:p>
    <w:p>
      <w:pPr>
        <w:spacing w:line="520" w:lineRule="exact"/>
        <w:ind w:firstLine="672" w:firstLineChars="200"/>
        <w:rPr>
          <w:rFonts w:hint="eastAsia"/>
        </w:rPr>
      </w:pPr>
    </w:p>
    <w:p>
      <w:pPr>
        <w:spacing w:line="520" w:lineRule="exact"/>
        <w:ind w:firstLine="672" w:firstLineChars="200"/>
        <w:rPr>
          <w:rFonts w:hint="eastAsia"/>
        </w:rPr>
      </w:pPr>
    </w:p>
    <w:p>
      <w:pPr>
        <w:spacing w:line="520" w:lineRule="exact"/>
        <w:ind w:firstLine="672" w:firstLineChars="200"/>
        <w:rPr>
          <w:rFonts w:hint="eastAsia"/>
        </w:rPr>
      </w:pPr>
    </w:p>
    <w:p>
      <w:pPr>
        <w:spacing w:line="520" w:lineRule="exact"/>
        <w:ind w:firstLine="672" w:firstLineChars="200"/>
        <w:rPr>
          <w:rFonts w:hint="eastAsia"/>
        </w:rPr>
      </w:pPr>
    </w:p>
    <w:p>
      <w:pPr>
        <w:spacing w:line="520" w:lineRule="exact"/>
        <w:ind w:firstLine="672" w:firstLineChars="200"/>
        <w:rPr>
          <w:rFonts w:hint="eastAsia"/>
        </w:rPr>
      </w:pPr>
    </w:p>
    <w:p>
      <w:pPr>
        <w:spacing w:line="520" w:lineRule="exact"/>
        <w:ind w:firstLine="672" w:firstLineChars="200"/>
        <w:rPr>
          <w:rFonts w:hint="eastAsia"/>
        </w:rPr>
      </w:pPr>
      <w:r>
        <w:rPr>
          <w:rFonts w:hint="eastAsia"/>
        </w:rPr>
        <w:t>（此页无正文）</w:t>
      </w:r>
    </w:p>
    <w:p>
      <w:pPr>
        <w:spacing w:line="520" w:lineRule="exact"/>
        <w:ind w:firstLine="672" w:firstLineChars="200"/>
        <w:rPr>
          <w:rFonts w:hint="eastAsia"/>
        </w:rPr>
      </w:pPr>
    </w:p>
    <w:p>
      <w:pPr>
        <w:spacing w:line="520" w:lineRule="exact"/>
        <w:ind w:firstLine="672" w:firstLineChars="200"/>
        <w:rPr>
          <w:rFonts w:hint="eastAsia"/>
        </w:rPr>
      </w:pPr>
    </w:p>
    <w:p>
      <w:pPr>
        <w:spacing w:line="520" w:lineRule="exact"/>
        <w:ind w:firstLine="672" w:firstLineChars="200"/>
        <w:rPr>
          <w:rFonts w:hint="eastAsia"/>
        </w:rPr>
      </w:pPr>
    </w:p>
    <w:p>
      <w:pPr>
        <w:spacing w:line="520" w:lineRule="exact"/>
        <w:ind w:firstLine="672" w:firstLineChars="200"/>
        <w:rPr>
          <w:rFonts w:hint="eastAsia"/>
        </w:rPr>
      </w:pPr>
    </w:p>
    <w:p>
      <w:pPr>
        <w:pStyle w:val="2"/>
        <w:spacing w:line="500" w:lineRule="exact"/>
        <w:ind w:right="695" w:rightChars="207" w:firstLine="674"/>
        <w:jc w:val="right"/>
        <w:rPr>
          <w:rFonts w:hint="eastAsia"/>
        </w:rPr>
      </w:pPr>
      <w:r>
        <w:rPr>
          <w:rFonts w:hint="eastAsia"/>
        </w:rPr>
        <w:t>审  判  长    王京梅</w:t>
      </w:r>
    </w:p>
    <w:p>
      <w:pPr>
        <w:wordWrap w:val="0"/>
        <w:spacing w:line="500" w:lineRule="exact"/>
        <w:ind w:right="695" w:rightChars="207" w:firstLine="672" w:firstLineChars="200"/>
        <w:jc w:val="right"/>
        <w:rPr>
          <w:rFonts w:hint="eastAsia"/>
        </w:rPr>
      </w:pPr>
      <w:r>
        <w:rPr>
          <w:rFonts w:hint="eastAsia"/>
        </w:rPr>
        <w:t>代理审判员    史修金</w:t>
      </w:r>
    </w:p>
    <w:p>
      <w:pPr>
        <w:wordWrap w:val="0"/>
        <w:spacing w:line="500" w:lineRule="exact"/>
        <w:ind w:right="695" w:rightChars="207" w:firstLine="672" w:firstLineChars="200"/>
        <w:jc w:val="right"/>
        <w:rPr>
          <w:rFonts w:hint="eastAsia"/>
        </w:rPr>
      </w:pPr>
      <w:r>
        <w:rPr>
          <w:rFonts w:hint="eastAsia"/>
        </w:rPr>
        <w:t xml:space="preserve">     人民陪审员    果泽强</w:t>
      </w:r>
    </w:p>
    <w:p>
      <w:pPr>
        <w:spacing w:line="500" w:lineRule="exact"/>
        <w:ind w:right="695" w:rightChars="207" w:firstLine="672" w:firstLineChars="200"/>
        <w:jc w:val="right"/>
        <w:rPr>
          <w:rFonts w:hint="eastAsia"/>
        </w:rPr>
      </w:pPr>
    </w:p>
    <w:p>
      <w:pPr>
        <w:spacing w:line="500" w:lineRule="exact"/>
        <w:ind w:right="695" w:rightChars="207" w:firstLine="672" w:firstLineChars="200"/>
        <w:jc w:val="right"/>
        <w:rPr>
          <w:rFonts w:hint="eastAsia"/>
        </w:rPr>
      </w:pPr>
      <w:r>
        <w:rPr>
          <w:rFonts w:hint="eastAsia"/>
        </w:rPr>
        <w:t>二</w:t>
      </w: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一三年六月九日</w:t>
      </w:r>
    </w:p>
    <w:p>
      <w:pPr>
        <w:spacing w:line="500" w:lineRule="exact"/>
        <w:ind w:right="695" w:rightChars="207" w:firstLine="672" w:firstLineChars="200"/>
        <w:jc w:val="right"/>
        <w:rPr>
          <w:rFonts w:hint="eastAsia"/>
        </w:rPr>
      </w:pPr>
    </w:p>
    <w:p>
      <w:pPr>
        <w:spacing w:line="500" w:lineRule="exact"/>
        <w:ind w:right="695" w:rightChars="207" w:firstLine="672" w:firstLineChars="200"/>
        <w:jc w:val="right"/>
        <w:rPr>
          <w:rFonts w:hint="eastAsia"/>
        </w:rPr>
      </w:pPr>
      <w:r>
        <w:rPr>
          <w:rFonts w:hint="eastAsia"/>
        </w:rPr>
        <w:t xml:space="preserve"> 书  记  员    孙  蓓</w:t>
      </w:r>
    </w:p>
    <w:p>
      <w:pPr>
        <w:spacing w:line="500" w:lineRule="exact"/>
        <w:ind w:right="695" w:rightChars="207" w:firstLine="672" w:firstLineChars="200"/>
        <w:jc w:val="right"/>
        <w:rPr>
          <w:rFonts w:hint="eastAsia"/>
        </w:rPr>
      </w:pPr>
    </w:p>
    <w:p>
      <w:pPr>
        <w:spacing w:line="500" w:lineRule="exact"/>
        <w:ind w:right="695" w:rightChars="207" w:firstLine="672" w:firstLineChars="200"/>
        <w:jc w:val="right"/>
      </w:pPr>
    </w:p>
    <w:p>
      <w:pPr>
        <w:spacing w:line="500" w:lineRule="exact"/>
        <w:ind w:right="695" w:rightChars="207" w:firstLine="672" w:firstLineChars="200"/>
        <w:jc w:val="right"/>
      </w:pPr>
    </w:p>
    <w:p>
      <w:pPr>
        <w:ind w:firstLine="672" w:firstLineChars="200"/>
        <w:rPr>
          <w:rFonts w:hint="eastAsia"/>
        </w:rPr>
      </w:pPr>
    </w:p>
    <w:p>
      <w:pPr>
        <w:ind w:firstLine="672" w:firstLineChars="200"/>
        <w:rPr>
          <w:rFonts w:hint="eastAsia"/>
        </w:rPr>
      </w:pPr>
    </w:p>
    <w:p>
      <w:pPr>
        <w:ind w:firstLine="672" w:firstLineChars="200"/>
        <w:rPr>
          <w:rFonts w:hint="eastAsia"/>
        </w:rPr>
      </w:pPr>
    </w:p>
    <w:p>
      <w:pPr>
        <w:ind w:firstLine="672" w:firstLineChars="200"/>
        <w:rPr>
          <w:rFonts w:hint="eastAsia"/>
        </w:rPr>
      </w:pPr>
    </w:p>
    <w:p>
      <w:pPr>
        <w:ind w:firstLine="672" w:firstLineChars="200"/>
        <w:rPr>
          <w:rFonts w:hint="eastAsia"/>
        </w:rPr>
      </w:pPr>
    </w:p>
    <w:p>
      <w:pPr>
        <w:ind w:firstLine="672" w:firstLineChars="200"/>
        <w:rPr>
          <w:rFonts w:hint="eastAsia"/>
        </w:rPr>
      </w:pPr>
    </w:p>
    <w:p>
      <w:pPr>
        <w:ind w:firstLine="672" w:firstLineChars="200"/>
        <w:rPr>
          <w:rFonts w:hint="eastAsia"/>
        </w:rPr>
      </w:pPr>
    </w:p>
    <w:p>
      <w:pPr>
        <w:ind w:firstLine="672" w:firstLineChars="200"/>
        <w:rPr>
          <w:rFonts w:hint="eastAsia"/>
        </w:rPr>
      </w:pPr>
    </w:p>
    <w:p>
      <w:pPr>
        <w:ind w:firstLine="672" w:firstLineChars="200"/>
        <w:rPr>
          <w:rFonts w:hint="eastAsia"/>
        </w:rPr>
      </w:pPr>
    </w:p>
    <w:p>
      <w:pPr>
        <w:ind w:firstLine="672" w:firstLineChars="200"/>
        <w:rPr>
          <w:rFonts w:hint="eastAsia"/>
        </w:rPr>
      </w:pPr>
    </w:p>
    <w:p>
      <w:pPr>
        <w:ind w:firstLine="672" w:firstLineChars="200"/>
        <w:rPr>
          <w:rFonts w:hint="eastAsia"/>
        </w:rPr>
      </w:pPr>
    </w:p>
    <w:p>
      <w:pPr>
        <w:ind w:firstLine="672" w:firstLineChars="200"/>
        <w:rPr>
          <w:rFonts w:hint="eastAsia"/>
        </w:rPr>
      </w:pPr>
    </w:p>
    <w:p>
      <w:pPr>
        <w:ind w:firstLine="672" w:firstLineChars="200"/>
        <w:rPr>
          <w:rFonts w:hint="eastAsia"/>
        </w:rPr>
      </w:pPr>
    </w:p>
    <w:p>
      <w:pPr>
        <w:ind w:firstLine="672" w:firstLineChars="200"/>
      </w:pPr>
      <w:r>
        <w:rPr>
          <w:rFonts w:hint="eastAsia"/>
        </w:rPr>
        <w:t>本案引用的法律条文</w:t>
      </w:r>
    </w:p>
    <w:p>
      <w:pPr>
        <w:ind w:firstLine="672" w:firstLineChars="200"/>
        <w:rPr>
          <w:rFonts w:hint="eastAsia"/>
        </w:rPr>
      </w:pPr>
      <w:r>
        <w:rPr>
          <w:rFonts w:hint="eastAsia"/>
        </w:rPr>
        <w:t>《中华人民共和国刑法》</w:t>
      </w:r>
    </w:p>
    <w:p>
      <w:pPr>
        <w:ind w:firstLine="672" w:firstLineChars="200"/>
        <w:rPr>
          <w:rFonts w:hint="eastAsia"/>
        </w:rPr>
      </w:pPr>
      <w:r>
        <w:rPr>
          <w:rFonts w:hint="eastAsia"/>
        </w:rPr>
        <w:t>第五十二条   判处罚金，应当根据犯罪情节决定罚金数额。</w:t>
      </w:r>
    </w:p>
    <w:p>
      <w:pPr>
        <w:ind w:firstLine="672" w:firstLineChars="200"/>
        <w:rPr>
          <w:rFonts w:hint="eastAsia"/>
        </w:rPr>
      </w:pPr>
      <w:r>
        <w:rPr>
          <w:rFonts w:hint="eastAsia"/>
        </w:rPr>
        <w:t>第五十三条   罚金在判决指定的期限内一次或者分期缴纳。期满不缴纳的，强制缴纳。对于不能全部缴纳罚金的，人民法院在任何时候发现被执行人有可以执行的财产，应当随时追缴。如果由于遭遇不能抗拒的灾祸缴纳确实有困难的，可以酌情减少或者免除。</w:t>
      </w:r>
    </w:p>
    <w:p>
      <w:pPr>
        <w:ind w:firstLine="672" w:firstLineChars="200"/>
        <w:rPr>
          <w:rFonts w:hint="eastAsia"/>
        </w:rPr>
      </w:pPr>
      <w:r>
        <w:rPr>
          <w:rFonts w:hint="eastAsia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ind w:firstLine="672" w:firstLineChars="200"/>
        <w:rPr>
          <w:rFonts w:hint="eastAsia"/>
        </w:rPr>
      </w:pPr>
      <w:r>
        <w:rPr>
          <w:rFonts w:hint="eastAsia"/>
        </w:rPr>
        <w:t>第七十二条   对于被判处拘役、三年以下有期徒刑的犯罪分子，同时符合下列条件的，可以宣告缓刑，对其中不满十八周岁的人、怀孕的妇女和已满七十五周岁的人，应当宣告缓刑：（一）犯罪情节较轻；（二）有悔罪表现；（三）没有再犯罪的危险；（四）宣告缓刑对所居住社区没有重大不良影响。宣告缓刑，可以根据犯罪情况，同时禁止犯罪分子在缓刑考验期限内从事特定活动，进入特定区域、场所，接触特定的人。被宣告缓刑的犯罪分子，如果被判处附加刑，附加刑仍须执行。</w:t>
      </w:r>
    </w:p>
    <w:p>
      <w:pPr>
        <w:ind w:firstLine="672" w:firstLineChars="200"/>
        <w:rPr>
          <w:rFonts w:hint="eastAsia"/>
        </w:rPr>
      </w:pPr>
      <w:r>
        <w:rPr>
          <w:rFonts w:hint="eastAsia"/>
        </w:rPr>
        <w:t>第七十三条第二款   有期徒刑的缓刑考验期限为原判刑期以上五年以下，但是不能少于一年。</w:t>
      </w:r>
    </w:p>
    <w:p>
      <w:pPr>
        <w:ind w:firstLine="672" w:firstLineChars="200"/>
        <w:rPr>
          <w:rFonts w:hint="eastAsia"/>
        </w:rPr>
      </w:pPr>
      <w:r>
        <w:rPr>
          <w:rFonts w:hint="eastAsia"/>
        </w:rPr>
        <w:t>第七十三条第三款   缓刑考验期限，从判决确定之日起计算。</w:t>
      </w:r>
    </w:p>
    <w:p>
      <w:pPr>
        <w:ind w:firstLine="672" w:firstLineChars="200"/>
        <w:rPr>
          <w:rFonts w:hint="eastAsia"/>
        </w:rPr>
      </w:pPr>
      <w:r>
        <w:rPr>
          <w:rFonts w:hint="eastAsia"/>
        </w:rPr>
        <w:t>第七十五条   被宣告缓刑的犯罪分子，应当遵守下列规定：</w:t>
      </w:r>
    </w:p>
    <w:p>
      <w:pPr>
        <w:ind w:firstLine="672" w:firstLineChars="200"/>
        <w:rPr>
          <w:rFonts w:hint="eastAsia"/>
        </w:rPr>
      </w:pPr>
      <w:r>
        <w:rPr>
          <w:rFonts w:hint="eastAsia"/>
        </w:rPr>
        <w:t>（一）遵守法律、行政法规，服从监督；</w:t>
      </w:r>
    </w:p>
    <w:p>
      <w:pPr>
        <w:ind w:firstLine="672" w:firstLineChars="200"/>
        <w:rPr>
          <w:rFonts w:hint="eastAsia"/>
        </w:rPr>
      </w:pPr>
      <w:r>
        <w:rPr>
          <w:rFonts w:hint="eastAsia"/>
        </w:rPr>
        <w:t>（二）按照考察机关的规定报告自己的活动情况；</w:t>
      </w:r>
    </w:p>
    <w:p>
      <w:pPr>
        <w:ind w:firstLine="672" w:firstLineChars="200"/>
        <w:rPr>
          <w:rFonts w:hint="eastAsia"/>
        </w:rPr>
      </w:pPr>
      <w:r>
        <w:rPr>
          <w:rFonts w:hint="eastAsia"/>
        </w:rPr>
        <w:t>（三）遵守考察机关关于会客的规定；</w:t>
      </w:r>
    </w:p>
    <w:p>
      <w:pPr>
        <w:ind w:firstLine="672" w:firstLineChars="200"/>
        <w:rPr>
          <w:rFonts w:hint="eastAsia"/>
        </w:rPr>
      </w:pPr>
      <w:r>
        <w:rPr>
          <w:rFonts w:hint="eastAsia"/>
        </w:rPr>
        <w:t>（四）离开所居住的市、县或者迁居，应当报经考察机关批准。</w:t>
      </w:r>
    </w:p>
    <w:p>
      <w:pPr>
        <w:ind w:firstLine="672" w:firstLineChars="200"/>
        <w:rPr>
          <w:rFonts w:hint="eastAsia"/>
        </w:rPr>
      </w:pPr>
      <w:r>
        <w:rPr>
          <w:rFonts w:hint="eastAsia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ind w:firstLine="672" w:firstLineChars="200"/>
        <w:rPr>
          <w:rFonts w:hint="eastAsia"/>
        </w:rPr>
      </w:pPr>
      <w:r>
        <w:rPr>
          <w:rFonts w:hint="eastAsia"/>
        </w:rPr>
        <w:t>第一百九十六条第一款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ind w:firstLine="672" w:firstLineChars="200"/>
        <w:rPr>
          <w:rFonts w:hint="eastAsia"/>
        </w:rPr>
      </w:pPr>
      <w:r>
        <w:rPr>
          <w:rFonts w:hint="eastAsia"/>
        </w:rPr>
        <w:t>（一）使用伪造的信用卡，或者使用以虚假的身份证明骗领的信用卡的；</w:t>
      </w:r>
    </w:p>
    <w:p>
      <w:pPr>
        <w:ind w:firstLine="672" w:firstLineChars="200"/>
        <w:rPr>
          <w:rFonts w:hint="eastAsia"/>
        </w:rPr>
      </w:pPr>
      <w:r>
        <w:rPr>
          <w:rFonts w:hint="eastAsia"/>
        </w:rPr>
        <w:t>（二）使用作废的信用卡的；</w:t>
      </w:r>
    </w:p>
    <w:p>
      <w:pPr>
        <w:ind w:firstLine="672" w:firstLineChars="200"/>
        <w:rPr>
          <w:rFonts w:hint="eastAsia"/>
        </w:rPr>
      </w:pPr>
      <w:r>
        <w:rPr>
          <w:rFonts w:hint="eastAsia"/>
        </w:rPr>
        <w:t>（三）冒用他人信用卡的；</w:t>
      </w:r>
    </w:p>
    <w:p>
      <w:pPr>
        <w:ind w:firstLine="672" w:firstLineChars="200"/>
        <w:rPr>
          <w:rFonts w:hint="eastAsia"/>
        </w:rPr>
      </w:pPr>
      <w:r>
        <w:rPr>
          <w:rFonts w:hint="eastAsia"/>
        </w:rPr>
        <w:t>（四）恶意透支的。</w:t>
      </w:r>
    </w:p>
    <w:p>
      <w:pPr>
        <w:ind w:firstLine="672" w:firstLineChars="200"/>
        <w:rPr>
          <w:rFonts w:hint="eastAsia"/>
        </w:rPr>
      </w:pPr>
      <w:r>
        <w:rPr>
          <w:rFonts w:hint="eastAsia"/>
        </w:rPr>
        <w:t>《关于办理妨害信用卡管理刑事案件具体应用法律若干问题的解释》</w:t>
      </w:r>
    </w:p>
    <w:p>
      <w:pPr>
        <w:ind w:firstLine="672" w:firstLineChars="200"/>
        <w:rPr>
          <w:rFonts w:hint="eastAsia"/>
        </w:rPr>
      </w:pPr>
      <w:r>
        <w:rPr>
          <w:rFonts w:hint="eastAsia"/>
        </w:rPr>
        <w:t>第五条第一款   使用伪造的信用卡、以虚假的身份证明骗领的信用卡、作废的信用卡或者冒用他人信用卡，进行信用卡诈骗活动，数额在5000元以上不满5万元的，应当认定为刑法第一百九十六条规定的“数额较大”；数额在5万元以上不满50万元的，应当认定为刑法第一百九十六条规定的“数额巨大”；数额在50万元以上的，应当认定为刑法第一百九十六条规定的“数额特别巨大”。</w:t>
      </w:r>
    </w:p>
    <w:p>
      <w:pPr>
        <w:ind w:firstLine="672" w:firstLineChars="200"/>
        <w:rPr>
          <w:rFonts w:hint="eastAsia"/>
        </w:rPr>
      </w:pPr>
      <w:r>
        <w:rPr>
          <w:rFonts w:hint="eastAsia"/>
        </w:rPr>
        <w:t>第五条第二款第（一）项   （一）拾得他人信用卡并使用的；</w:t>
      </w:r>
    </w:p>
    <w:p>
      <w:pPr>
        <w:ind w:firstLine="672" w:firstLineChars="200"/>
        <w:rPr>
          <w:rFonts w:hint="eastAsia"/>
        </w:rPr>
      </w:pPr>
    </w:p>
    <w:sectPr>
      <w:footerReference r:id="rId3" w:type="default"/>
      <w:footerReference r:id="rId4" w:type="even"/>
      <w:pgSz w:w="11907" w:h="16840"/>
      <w:pgMar w:top="1701" w:right="1418" w:bottom="1701" w:left="1701" w:header="851" w:footer="992" w:gutter="0"/>
      <w:cols w:space="425" w:num="1"/>
      <w:titlePg/>
      <w:docGrid w:type="linesAndChars" w:linePitch="435" w:charSpace="3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6</w:t>
    </w:r>
    <w:r>
      <w:rPr>
        <w:rStyle w:val="11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337"/>
  <w:drawingGridVerticalSpacing w:val="435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781C"/>
    <w:rsid w:val="00000BE4"/>
    <w:rsid w:val="00001FB9"/>
    <w:rsid w:val="00002BEA"/>
    <w:rsid w:val="00003E0D"/>
    <w:rsid w:val="00006DD7"/>
    <w:rsid w:val="00012057"/>
    <w:rsid w:val="00013596"/>
    <w:rsid w:val="00013A92"/>
    <w:rsid w:val="00020974"/>
    <w:rsid w:val="0002104D"/>
    <w:rsid w:val="000230AD"/>
    <w:rsid w:val="000237E6"/>
    <w:rsid w:val="00026024"/>
    <w:rsid w:val="000265E9"/>
    <w:rsid w:val="000269A8"/>
    <w:rsid w:val="000323F0"/>
    <w:rsid w:val="00032F10"/>
    <w:rsid w:val="00033580"/>
    <w:rsid w:val="00035093"/>
    <w:rsid w:val="00041509"/>
    <w:rsid w:val="00044047"/>
    <w:rsid w:val="000473A0"/>
    <w:rsid w:val="00054E07"/>
    <w:rsid w:val="00056F7A"/>
    <w:rsid w:val="00057E60"/>
    <w:rsid w:val="000604E5"/>
    <w:rsid w:val="00061A0F"/>
    <w:rsid w:val="000625FC"/>
    <w:rsid w:val="00062676"/>
    <w:rsid w:val="00062C7C"/>
    <w:rsid w:val="00063CF4"/>
    <w:rsid w:val="00072B38"/>
    <w:rsid w:val="00081612"/>
    <w:rsid w:val="00084DB5"/>
    <w:rsid w:val="0008739B"/>
    <w:rsid w:val="00090FE6"/>
    <w:rsid w:val="0009200F"/>
    <w:rsid w:val="00092DEE"/>
    <w:rsid w:val="00093202"/>
    <w:rsid w:val="00094EEA"/>
    <w:rsid w:val="00095DA2"/>
    <w:rsid w:val="00097674"/>
    <w:rsid w:val="00097F2A"/>
    <w:rsid w:val="000A0AAF"/>
    <w:rsid w:val="000A2355"/>
    <w:rsid w:val="000A333E"/>
    <w:rsid w:val="000A3F30"/>
    <w:rsid w:val="000A435B"/>
    <w:rsid w:val="000B1B6F"/>
    <w:rsid w:val="000B7A2A"/>
    <w:rsid w:val="000C4705"/>
    <w:rsid w:val="000C4FEE"/>
    <w:rsid w:val="000C6A17"/>
    <w:rsid w:val="000C7C44"/>
    <w:rsid w:val="000D4EE9"/>
    <w:rsid w:val="000D7364"/>
    <w:rsid w:val="000D78C7"/>
    <w:rsid w:val="000E1A84"/>
    <w:rsid w:val="000E1D47"/>
    <w:rsid w:val="000E2CBC"/>
    <w:rsid w:val="000E3A1F"/>
    <w:rsid w:val="000E3FAC"/>
    <w:rsid w:val="000F4563"/>
    <w:rsid w:val="000F74AA"/>
    <w:rsid w:val="000F750A"/>
    <w:rsid w:val="001014CE"/>
    <w:rsid w:val="00101AA4"/>
    <w:rsid w:val="0010272A"/>
    <w:rsid w:val="001039FF"/>
    <w:rsid w:val="0011268B"/>
    <w:rsid w:val="00112DD3"/>
    <w:rsid w:val="001162CD"/>
    <w:rsid w:val="0011672E"/>
    <w:rsid w:val="001203CA"/>
    <w:rsid w:val="0012096F"/>
    <w:rsid w:val="00122C5A"/>
    <w:rsid w:val="00123EC2"/>
    <w:rsid w:val="00135032"/>
    <w:rsid w:val="001365F3"/>
    <w:rsid w:val="00143B6A"/>
    <w:rsid w:val="00144F49"/>
    <w:rsid w:val="001453FF"/>
    <w:rsid w:val="0014691C"/>
    <w:rsid w:val="001477D7"/>
    <w:rsid w:val="001517DD"/>
    <w:rsid w:val="00152042"/>
    <w:rsid w:val="00152841"/>
    <w:rsid w:val="00154E74"/>
    <w:rsid w:val="00157598"/>
    <w:rsid w:val="00166CD1"/>
    <w:rsid w:val="0016744D"/>
    <w:rsid w:val="0017258E"/>
    <w:rsid w:val="0017287A"/>
    <w:rsid w:val="0017435A"/>
    <w:rsid w:val="00174911"/>
    <w:rsid w:val="00174A9D"/>
    <w:rsid w:val="0018506A"/>
    <w:rsid w:val="00191320"/>
    <w:rsid w:val="00191891"/>
    <w:rsid w:val="00194D44"/>
    <w:rsid w:val="00196A74"/>
    <w:rsid w:val="001A1035"/>
    <w:rsid w:val="001A1767"/>
    <w:rsid w:val="001A5023"/>
    <w:rsid w:val="001A5B2A"/>
    <w:rsid w:val="001A6848"/>
    <w:rsid w:val="001B5B20"/>
    <w:rsid w:val="001B5C4F"/>
    <w:rsid w:val="001B71BD"/>
    <w:rsid w:val="001B7BCA"/>
    <w:rsid w:val="001C0F12"/>
    <w:rsid w:val="001C1ED3"/>
    <w:rsid w:val="001C2461"/>
    <w:rsid w:val="001C3573"/>
    <w:rsid w:val="001C606B"/>
    <w:rsid w:val="001C7ACE"/>
    <w:rsid w:val="001D08D7"/>
    <w:rsid w:val="001D0BFB"/>
    <w:rsid w:val="001D22F5"/>
    <w:rsid w:val="001E366F"/>
    <w:rsid w:val="001E6A62"/>
    <w:rsid w:val="001F0112"/>
    <w:rsid w:val="001F1C1A"/>
    <w:rsid w:val="001F67C7"/>
    <w:rsid w:val="001F764A"/>
    <w:rsid w:val="00204756"/>
    <w:rsid w:val="00204963"/>
    <w:rsid w:val="00204E0F"/>
    <w:rsid w:val="00206B8A"/>
    <w:rsid w:val="00207D7D"/>
    <w:rsid w:val="0021092B"/>
    <w:rsid w:val="00213596"/>
    <w:rsid w:val="00217E35"/>
    <w:rsid w:val="00221140"/>
    <w:rsid w:val="00222137"/>
    <w:rsid w:val="002271A5"/>
    <w:rsid w:val="00230236"/>
    <w:rsid w:val="002304B3"/>
    <w:rsid w:val="00231BEC"/>
    <w:rsid w:val="0023342A"/>
    <w:rsid w:val="00235F75"/>
    <w:rsid w:val="0023666B"/>
    <w:rsid w:val="00237EA9"/>
    <w:rsid w:val="0024404F"/>
    <w:rsid w:val="002530D5"/>
    <w:rsid w:val="00263915"/>
    <w:rsid w:val="00272D6F"/>
    <w:rsid w:val="00274B9D"/>
    <w:rsid w:val="002754EC"/>
    <w:rsid w:val="00277BDD"/>
    <w:rsid w:val="00281404"/>
    <w:rsid w:val="0028334B"/>
    <w:rsid w:val="002846F3"/>
    <w:rsid w:val="0028604C"/>
    <w:rsid w:val="0029127E"/>
    <w:rsid w:val="00295C95"/>
    <w:rsid w:val="00296728"/>
    <w:rsid w:val="00296990"/>
    <w:rsid w:val="00296E5A"/>
    <w:rsid w:val="002A333E"/>
    <w:rsid w:val="002A4051"/>
    <w:rsid w:val="002A4E31"/>
    <w:rsid w:val="002A59EC"/>
    <w:rsid w:val="002A68AC"/>
    <w:rsid w:val="002B1263"/>
    <w:rsid w:val="002B5D1C"/>
    <w:rsid w:val="002B625B"/>
    <w:rsid w:val="002C4616"/>
    <w:rsid w:val="002C4D58"/>
    <w:rsid w:val="002D06EB"/>
    <w:rsid w:val="002D12B0"/>
    <w:rsid w:val="002D2B2D"/>
    <w:rsid w:val="002D4341"/>
    <w:rsid w:val="002D5A34"/>
    <w:rsid w:val="002E26B6"/>
    <w:rsid w:val="002E3DBE"/>
    <w:rsid w:val="002E5602"/>
    <w:rsid w:val="002E689F"/>
    <w:rsid w:val="002F28D7"/>
    <w:rsid w:val="002F40DC"/>
    <w:rsid w:val="002F4372"/>
    <w:rsid w:val="002F528C"/>
    <w:rsid w:val="002F7DEC"/>
    <w:rsid w:val="003016DE"/>
    <w:rsid w:val="00305EE5"/>
    <w:rsid w:val="00306AAE"/>
    <w:rsid w:val="00306CDF"/>
    <w:rsid w:val="00307C57"/>
    <w:rsid w:val="00307F75"/>
    <w:rsid w:val="00311C5C"/>
    <w:rsid w:val="00312BB2"/>
    <w:rsid w:val="00312FC5"/>
    <w:rsid w:val="003138D9"/>
    <w:rsid w:val="00313D83"/>
    <w:rsid w:val="00314E3D"/>
    <w:rsid w:val="00315398"/>
    <w:rsid w:val="00323F5A"/>
    <w:rsid w:val="00326875"/>
    <w:rsid w:val="0032726E"/>
    <w:rsid w:val="00327F62"/>
    <w:rsid w:val="00334B6D"/>
    <w:rsid w:val="0033568B"/>
    <w:rsid w:val="003408A9"/>
    <w:rsid w:val="003416A7"/>
    <w:rsid w:val="00342A70"/>
    <w:rsid w:val="00342D3E"/>
    <w:rsid w:val="00347658"/>
    <w:rsid w:val="003503E7"/>
    <w:rsid w:val="00350DC3"/>
    <w:rsid w:val="003519FA"/>
    <w:rsid w:val="003525E1"/>
    <w:rsid w:val="00353F9A"/>
    <w:rsid w:val="0035526B"/>
    <w:rsid w:val="00356098"/>
    <w:rsid w:val="00356418"/>
    <w:rsid w:val="003565E4"/>
    <w:rsid w:val="003574CC"/>
    <w:rsid w:val="00357A9C"/>
    <w:rsid w:val="00360B75"/>
    <w:rsid w:val="00362CC9"/>
    <w:rsid w:val="00376C3C"/>
    <w:rsid w:val="003778B7"/>
    <w:rsid w:val="0038238F"/>
    <w:rsid w:val="00386C05"/>
    <w:rsid w:val="00393705"/>
    <w:rsid w:val="003949D2"/>
    <w:rsid w:val="00395E6E"/>
    <w:rsid w:val="003A051D"/>
    <w:rsid w:val="003A136E"/>
    <w:rsid w:val="003A259A"/>
    <w:rsid w:val="003A44F9"/>
    <w:rsid w:val="003A4A81"/>
    <w:rsid w:val="003A5053"/>
    <w:rsid w:val="003A59E9"/>
    <w:rsid w:val="003A5AED"/>
    <w:rsid w:val="003A6017"/>
    <w:rsid w:val="003B1702"/>
    <w:rsid w:val="003B51FB"/>
    <w:rsid w:val="003B5529"/>
    <w:rsid w:val="003B5A96"/>
    <w:rsid w:val="003B78BC"/>
    <w:rsid w:val="003C0F43"/>
    <w:rsid w:val="003C0FEC"/>
    <w:rsid w:val="003C7FC9"/>
    <w:rsid w:val="003D126E"/>
    <w:rsid w:val="003D1F1C"/>
    <w:rsid w:val="003D66CD"/>
    <w:rsid w:val="003E2861"/>
    <w:rsid w:val="003E2AC0"/>
    <w:rsid w:val="003E7C43"/>
    <w:rsid w:val="003E7FA1"/>
    <w:rsid w:val="003F074D"/>
    <w:rsid w:val="003F72EA"/>
    <w:rsid w:val="003F7825"/>
    <w:rsid w:val="00400F00"/>
    <w:rsid w:val="00401B1D"/>
    <w:rsid w:val="00401BBD"/>
    <w:rsid w:val="0040368A"/>
    <w:rsid w:val="00405FBA"/>
    <w:rsid w:val="00412212"/>
    <w:rsid w:val="00417D93"/>
    <w:rsid w:val="00421B44"/>
    <w:rsid w:val="00421E0A"/>
    <w:rsid w:val="00421F3E"/>
    <w:rsid w:val="00423254"/>
    <w:rsid w:val="0042549F"/>
    <w:rsid w:val="00426B93"/>
    <w:rsid w:val="0043060A"/>
    <w:rsid w:val="004310BE"/>
    <w:rsid w:val="004343DD"/>
    <w:rsid w:val="00437D09"/>
    <w:rsid w:val="004412EB"/>
    <w:rsid w:val="004427E2"/>
    <w:rsid w:val="0044697C"/>
    <w:rsid w:val="00450F9D"/>
    <w:rsid w:val="004538BD"/>
    <w:rsid w:val="00453E9E"/>
    <w:rsid w:val="00455A1C"/>
    <w:rsid w:val="00455C59"/>
    <w:rsid w:val="00455D35"/>
    <w:rsid w:val="00461D5F"/>
    <w:rsid w:val="0046373E"/>
    <w:rsid w:val="00464749"/>
    <w:rsid w:val="0046493B"/>
    <w:rsid w:val="00471043"/>
    <w:rsid w:val="00471947"/>
    <w:rsid w:val="00472126"/>
    <w:rsid w:val="00472ED7"/>
    <w:rsid w:val="00472F35"/>
    <w:rsid w:val="00476CDD"/>
    <w:rsid w:val="00477E68"/>
    <w:rsid w:val="004809A0"/>
    <w:rsid w:val="00481BBD"/>
    <w:rsid w:val="00482465"/>
    <w:rsid w:val="00482591"/>
    <w:rsid w:val="00482A88"/>
    <w:rsid w:val="00485400"/>
    <w:rsid w:val="0048779A"/>
    <w:rsid w:val="004914D1"/>
    <w:rsid w:val="00493EE6"/>
    <w:rsid w:val="00494818"/>
    <w:rsid w:val="00494915"/>
    <w:rsid w:val="004978CF"/>
    <w:rsid w:val="004A0327"/>
    <w:rsid w:val="004A2906"/>
    <w:rsid w:val="004A2FAD"/>
    <w:rsid w:val="004A62F6"/>
    <w:rsid w:val="004B26C9"/>
    <w:rsid w:val="004B444B"/>
    <w:rsid w:val="004B6375"/>
    <w:rsid w:val="004B65F5"/>
    <w:rsid w:val="004B7AFC"/>
    <w:rsid w:val="004C02F9"/>
    <w:rsid w:val="004C0D38"/>
    <w:rsid w:val="004C292A"/>
    <w:rsid w:val="004C4463"/>
    <w:rsid w:val="004C56EA"/>
    <w:rsid w:val="004C6D84"/>
    <w:rsid w:val="004C76B8"/>
    <w:rsid w:val="004D1550"/>
    <w:rsid w:val="004D1CB8"/>
    <w:rsid w:val="004D2E8D"/>
    <w:rsid w:val="004D49EE"/>
    <w:rsid w:val="004E51F1"/>
    <w:rsid w:val="004E6CFE"/>
    <w:rsid w:val="004F2DD6"/>
    <w:rsid w:val="004F4037"/>
    <w:rsid w:val="004F588A"/>
    <w:rsid w:val="004F5B25"/>
    <w:rsid w:val="004F6DD9"/>
    <w:rsid w:val="00500A38"/>
    <w:rsid w:val="005063A4"/>
    <w:rsid w:val="005075C4"/>
    <w:rsid w:val="005104C1"/>
    <w:rsid w:val="0051526B"/>
    <w:rsid w:val="00516605"/>
    <w:rsid w:val="00520135"/>
    <w:rsid w:val="005216D5"/>
    <w:rsid w:val="0052314B"/>
    <w:rsid w:val="0052403D"/>
    <w:rsid w:val="00527576"/>
    <w:rsid w:val="00530468"/>
    <w:rsid w:val="00530ABE"/>
    <w:rsid w:val="005339F6"/>
    <w:rsid w:val="005357A8"/>
    <w:rsid w:val="005364F0"/>
    <w:rsid w:val="005378D0"/>
    <w:rsid w:val="00540C02"/>
    <w:rsid w:val="00545933"/>
    <w:rsid w:val="0054754B"/>
    <w:rsid w:val="0055350F"/>
    <w:rsid w:val="00553E62"/>
    <w:rsid w:val="00560856"/>
    <w:rsid w:val="00560EF3"/>
    <w:rsid w:val="0056336E"/>
    <w:rsid w:val="00566209"/>
    <w:rsid w:val="00566EEC"/>
    <w:rsid w:val="00570CD9"/>
    <w:rsid w:val="00571028"/>
    <w:rsid w:val="00571F34"/>
    <w:rsid w:val="005720F8"/>
    <w:rsid w:val="00572D13"/>
    <w:rsid w:val="00575712"/>
    <w:rsid w:val="005769ED"/>
    <w:rsid w:val="00577D67"/>
    <w:rsid w:val="00585CC1"/>
    <w:rsid w:val="00586B81"/>
    <w:rsid w:val="00592F28"/>
    <w:rsid w:val="0059362F"/>
    <w:rsid w:val="00593DE0"/>
    <w:rsid w:val="0059680B"/>
    <w:rsid w:val="0059781C"/>
    <w:rsid w:val="00597C36"/>
    <w:rsid w:val="005A0597"/>
    <w:rsid w:val="005A28D9"/>
    <w:rsid w:val="005A2ACB"/>
    <w:rsid w:val="005A35B0"/>
    <w:rsid w:val="005A63C1"/>
    <w:rsid w:val="005B0CC6"/>
    <w:rsid w:val="005B32BF"/>
    <w:rsid w:val="005B43B4"/>
    <w:rsid w:val="005B4AA5"/>
    <w:rsid w:val="005B607C"/>
    <w:rsid w:val="005C1492"/>
    <w:rsid w:val="005C20C4"/>
    <w:rsid w:val="005C2227"/>
    <w:rsid w:val="005D047B"/>
    <w:rsid w:val="005D24E7"/>
    <w:rsid w:val="005D5EE6"/>
    <w:rsid w:val="005E0A90"/>
    <w:rsid w:val="005E3D0A"/>
    <w:rsid w:val="005E4335"/>
    <w:rsid w:val="005F3CBE"/>
    <w:rsid w:val="005F7FDE"/>
    <w:rsid w:val="0060039E"/>
    <w:rsid w:val="00602801"/>
    <w:rsid w:val="0060378A"/>
    <w:rsid w:val="0061076C"/>
    <w:rsid w:val="00613924"/>
    <w:rsid w:val="00613A03"/>
    <w:rsid w:val="006148E8"/>
    <w:rsid w:val="0062003B"/>
    <w:rsid w:val="00623B8F"/>
    <w:rsid w:val="00625676"/>
    <w:rsid w:val="00627103"/>
    <w:rsid w:val="00631BC4"/>
    <w:rsid w:val="00632C18"/>
    <w:rsid w:val="0063650B"/>
    <w:rsid w:val="0063701E"/>
    <w:rsid w:val="006445E2"/>
    <w:rsid w:val="00656357"/>
    <w:rsid w:val="00661315"/>
    <w:rsid w:val="00661D31"/>
    <w:rsid w:val="00661FB5"/>
    <w:rsid w:val="00662EC1"/>
    <w:rsid w:val="0067206D"/>
    <w:rsid w:val="00672A63"/>
    <w:rsid w:val="00672F6D"/>
    <w:rsid w:val="00674EA5"/>
    <w:rsid w:val="006801B1"/>
    <w:rsid w:val="006805E6"/>
    <w:rsid w:val="00681612"/>
    <w:rsid w:val="00683CDB"/>
    <w:rsid w:val="00685EEF"/>
    <w:rsid w:val="00691E9B"/>
    <w:rsid w:val="006937D0"/>
    <w:rsid w:val="00693E71"/>
    <w:rsid w:val="006A10ED"/>
    <w:rsid w:val="006A296C"/>
    <w:rsid w:val="006A31A5"/>
    <w:rsid w:val="006A3886"/>
    <w:rsid w:val="006A523B"/>
    <w:rsid w:val="006A7812"/>
    <w:rsid w:val="006B4838"/>
    <w:rsid w:val="006B68FF"/>
    <w:rsid w:val="006C07A9"/>
    <w:rsid w:val="006C13DC"/>
    <w:rsid w:val="006C52AF"/>
    <w:rsid w:val="006C5AEA"/>
    <w:rsid w:val="006E788E"/>
    <w:rsid w:val="006E7A75"/>
    <w:rsid w:val="006F4FD0"/>
    <w:rsid w:val="006F67A2"/>
    <w:rsid w:val="006F7CF3"/>
    <w:rsid w:val="007006B8"/>
    <w:rsid w:val="00701402"/>
    <w:rsid w:val="007074F7"/>
    <w:rsid w:val="007123DD"/>
    <w:rsid w:val="0071579C"/>
    <w:rsid w:val="00717285"/>
    <w:rsid w:val="00717F50"/>
    <w:rsid w:val="00720549"/>
    <w:rsid w:val="0072112F"/>
    <w:rsid w:val="0072473D"/>
    <w:rsid w:val="007313A8"/>
    <w:rsid w:val="00732F90"/>
    <w:rsid w:val="0073518C"/>
    <w:rsid w:val="00742EC8"/>
    <w:rsid w:val="00744CD8"/>
    <w:rsid w:val="00746663"/>
    <w:rsid w:val="00746A20"/>
    <w:rsid w:val="007505E8"/>
    <w:rsid w:val="00754572"/>
    <w:rsid w:val="00756010"/>
    <w:rsid w:val="0075649E"/>
    <w:rsid w:val="00760F4C"/>
    <w:rsid w:val="0076167E"/>
    <w:rsid w:val="00763A3B"/>
    <w:rsid w:val="00765354"/>
    <w:rsid w:val="0076683C"/>
    <w:rsid w:val="00772758"/>
    <w:rsid w:val="00772FD0"/>
    <w:rsid w:val="007734CB"/>
    <w:rsid w:val="00775532"/>
    <w:rsid w:val="00777B42"/>
    <w:rsid w:val="007827CA"/>
    <w:rsid w:val="00786080"/>
    <w:rsid w:val="0079071F"/>
    <w:rsid w:val="00792361"/>
    <w:rsid w:val="00794020"/>
    <w:rsid w:val="007A2EAF"/>
    <w:rsid w:val="007A2F95"/>
    <w:rsid w:val="007A3D73"/>
    <w:rsid w:val="007A5516"/>
    <w:rsid w:val="007A64FE"/>
    <w:rsid w:val="007A6980"/>
    <w:rsid w:val="007A6DA9"/>
    <w:rsid w:val="007A77E7"/>
    <w:rsid w:val="007A7BD2"/>
    <w:rsid w:val="007A7FF4"/>
    <w:rsid w:val="007B16C8"/>
    <w:rsid w:val="007B2212"/>
    <w:rsid w:val="007B4B14"/>
    <w:rsid w:val="007B4E53"/>
    <w:rsid w:val="007B56CA"/>
    <w:rsid w:val="007B6CC1"/>
    <w:rsid w:val="007C2820"/>
    <w:rsid w:val="007C48ED"/>
    <w:rsid w:val="007C595B"/>
    <w:rsid w:val="007C671D"/>
    <w:rsid w:val="007C7E47"/>
    <w:rsid w:val="007D1859"/>
    <w:rsid w:val="007D2B65"/>
    <w:rsid w:val="007D45BE"/>
    <w:rsid w:val="007D6276"/>
    <w:rsid w:val="007F24D7"/>
    <w:rsid w:val="007F38ED"/>
    <w:rsid w:val="00804C28"/>
    <w:rsid w:val="00813738"/>
    <w:rsid w:val="008153A6"/>
    <w:rsid w:val="00816D49"/>
    <w:rsid w:val="0081722D"/>
    <w:rsid w:val="00821A79"/>
    <w:rsid w:val="0082483F"/>
    <w:rsid w:val="00826003"/>
    <w:rsid w:val="0083123E"/>
    <w:rsid w:val="008339B3"/>
    <w:rsid w:val="00834606"/>
    <w:rsid w:val="00836802"/>
    <w:rsid w:val="008374C1"/>
    <w:rsid w:val="00837B85"/>
    <w:rsid w:val="0084320D"/>
    <w:rsid w:val="00847AF5"/>
    <w:rsid w:val="00851548"/>
    <w:rsid w:val="008527FC"/>
    <w:rsid w:val="0085358D"/>
    <w:rsid w:val="00854240"/>
    <w:rsid w:val="008552E8"/>
    <w:rsid w:val="008604F7"/>
    <w:rsid w:val="00861FB6"/>
    <w:rsid w:val="00867095"/>
    <w:rsid w:val="00871ABB"/>
    <w:rsid w:val="008734DA"/>
    <w:rsid w:val="008747E0"/>
    <w:rsid w:val="00876CB4"/>
    <w:rsid w:val="00880707"/>
    <w:rsid w:val="008814B1"/>
    <w:rsid w:val="00885C97"/>
    <w:rsid w:val="00886656"/>
    <w:rsid w:val="00887267"/>
    <w:rsid w:val="008907F2"/>
    <w:rsid w:val="0089392F"/>
    <w:rsid w:val="00895061"/>
    <w:rsid w:val="008A1A6A"/>
    <w:rsid w:val="008A2A35"/>
    <w:rsid w:val="008A66BF"/>
    <w:rsid w:val="008A7129"/>
    <w:rsid w:val="008B30AD"/>
    <w:rsid w:val="008B3D4D"/>
    <w:rsid w:val="008B4E97"/>
    <w:rsid w:val="008C1BE3"/>
    <w:rsid w:val="008C3777"/>
    <w:rsid w:val="008C7787"/>
    <w:rsid w:val="008E1389"/>
    <w:rsid w:val="008E14E0"/>
    <w:rsid w:val="008E20D6"/>
    <w:rsid w:val="008E3F43"/>
    <w:rsid w:val="008E445E"/>
    <w:rsid w:val="008E592D"/>
    <w:rsid w:val="008F5809"/>
    <w:rsid w:val="00902D2B"/>
    <w:rsid w:val="0090540C"/>
    <w:rsid w:val="0090743E"/>
    <w:rsid w:val="00911EB9"/>
    <w:rsid w:val="00912419"/>
    <w:rsid w:val="00917161"/>
    <w:rsid w:val="00920C33"/>
    <w:rsid w:val="00922480"/>
    <w:rsid w:val="0092308F"/>
    <w:rsid w:val="00933922"/>
    <w:rsid w:val="009373EB"/>
    <w:rsid w:val="00937AB0"/>
    <w:rsid w:val="00937D6B"/>
    <w:rsid w:val="00944BEF"/>
    <w:rsid w:val="00945AAB"/>
    <w:rsid w:val="0095054D"/>
    <w:rsid w:val="00951608"/>
    <w:rsid w:val="0095433B"/>
    <w:rsid w:val="00955B18"/>
    <w:rsid w:val="00956273"/>
    <w:rsid w:val="009603E5"/>
    <w:rsid w:val="00961EBF"/>
    <w:rsid w:val="00964F5B"/>
    <w:rsid w:val="009654D2"/>
    <w:rsid w:val="0096701E"/>
    <w:rsid w:val="00976EA9"/>
    <w:rsid w:val="0097711C"/>
    <w:rsid w:val="00980B0F"/>
    <w:rsid w:val="00981132"/>
    <w:rsid w:val="00982427"/>
    <w:rsid w:val="009824D9"/>
    <w:rsid w:val="00982DAE"/>
    <w:rsid w:val="009864E6"/>
    <w:rsid w:val="0099062B"/>
    <w:rsid w:val="0099099B"/>
    <w:rsid w:val="009945FF"/>
    <w:rsid w:val="0099552C"/>
    <w:rsid w:val="009A04A6"/>
    <w:rsid w:val="009A179A"/>
    <w:rsid w:val="009A2C41"/>
    <w:rsid w:val="009A3A0B"/>
    <w:rsid w:val="009A7C8A"/>
    <w:rsid w:val="009B00F3"/>
    <w:rsid w:val="009B1303"/>
    <w:rsid w:val="009B13C5"/>
    <w:rsid w:val="009B142D"/>
    <w:rsid w:val="009B1B15"/>
    <w:rsid w:val="009B26F5"/>
    <w:rsid w:val="009B29FC"/>
    <w:rsid w:val="009B6DDE"/>
    <w:rsid w:val="009C24C1"/>
    <w:rsid w:val="009C4082"/>
    <w:rsid w:val="009C5EE4"/>
    <w:rsid w:val="009D0130"/>
    <w:rsid w:val="009D1821"/>
    <w:rsid w:val="009D390D"/>
    <w:rsid w:val="009D448B"/>
    <w:rsid w:val="009D68A1"/>
    <w:rsid w:val="009D73DE"/>
    <w:rsid w:val="009E6680"/>
    <w:rsid w:val="009E6D2D"/>
    <w:rsid w:val="009F0A6E"/>
    <w:rsid w:val="009F20D9"/>
    <w:rsid w:val="009F58C8"/>
    <w:rsid w:val="009F70B9"/>
    <w:rsid w:val="00A035DE"/>
    <w:rsid w:val="00A0598C"/>
    <w:rsid w:val="00A05D80"/>
    <w:rsid w:val="00A06615"/>
    <w:rsid w:val="00A11564"/>
    <w:rsid w:val="00A16316"/>
    <w:rsid w:val="00A16649"/>
    <w:rsid w:val="00A205E9"/>
    <w:rsid w:val="00A23363"/>
    <w:rsid w:val="00A2481C"/>
    <w:rsid w:val="00A2681A"/>
    <w:rsid w:val="00A32216"/>
    <w:rsid w:val="00A32A79"/>
    <w:rsid w:val="00A330B9"/>
    <w:rsid w:val="00A335D4"/>
    <w:rsid w:val="00A37FE5"/>
    <w:rsid w:val="00A403C6"/>
    <w:rsid w:val="00A407CB"/>
    <w:rsid w:val="00A4184D"/>
    <w:rsid w:val="00A43CE1"/>
    <w:rsid w:val="00A43EE0"/>
    <w:rsid w:val="00A4478A"/>
    <w:rsid w:val="00A4714B"/>
    <w:rsid w:val="00A47C48"/>
    <w:rsid w:val="00A519F0"/>
    <w:rsid w:val="00A52960"/>
    <w:rsid w:val="00A53DF0"/>
    <w:rsid w:val="00A540C1"/>
    <w:rsid w:val="00A55A36"/>
    <w:rsid w:val="00A6000F"/>
    <w:rsid w:val="00A60191"/>
    <w:rsid w:val="00A61E2F"/>
    <w:rsid w:val="00A62B65"/>
    <w:rsid w:val="00A647AA"/>
    <w:rsid w:val="00A6487A"/>
    <w:rsid w:val="00A65D21"/>
    <w:rsid w:val="00A666AB"/>
    <w:rsid w:val="00A67CDD"/>
    <w:rsid w:val="00A75FB0"/>
    <w:rsid w:val="00A762FD"/>
    <w:rsid w:val="00A77735"/>
    <w:rsid w:val="00A84645"/>
    <w:rsid w:val="00A85774"/>
    <w:rsid w:val="00A871E5"/>
    <w:rsid w:val="00A90478"/>
    <w:rsid w:val="00A92D6B"/>
    <w:rsid w:val="00A95F16"/>
    <w:rsid w:val="00A9723E"/>
    <w:rsid w:val="00AA0200"/>
    <w:rsid w:val="00AA2C56"/>
    <w:rsid w:val="00AA401F"/>
    <w:rsid w:val="00AA4D62"/>
    <w:rsid w:val="00AA52AA"/>
    <w:rsid w:val="00AA6E4D"/>
    <w:rsid w:val="00AB36C2"/>
    <w:rsid w:val="00AB5D15"/>
    <w:rsid w:val="00AB7E45"/>
    <w:rsid w:val="00AC04A9"/>
    <w:rsid w:val="00AC1619"/>
    <w:rsid w:val="00AC3095"/>
    <w:rsid w:val="00AC3558"/>
    <w:rsid w:val="00AC35C8"/>
    <w:rsid w:val="00AC5C13"/>
    <w:rsid w:val="00AC7090"/>
    <w:rsid w:val="00AC7E96"/>
    <w:rsid w:val="00AE0238"/>
    <w:rsid w:val="00AE2A0C"/>
    <w:rsid w:val="00AE4697"/>
    <w:rsid w:val="00AE48AA"/>
    <w:rsid w:val="00AF0EED"/>
    <w:rsid w:val="00AF1FD9"/>
    <w:rsid w:val="00AF2F12"/>
    <w:rsid w:val="00AF5481"/>
    <w:rsid w:val="00AF724F"/>
    <w:rsid w:val="00B0270A"/>
    <w:rsid w:val="00B0536A"/>
    <w:rsid w:val="00B06368"/>
    <w:rsid w:val="00B07618"/>
    <w:rsid w:val="00B07ECF"/>
    <w:rsid w:val="00B1027F"/>
    <w:rsid w:val="00B12B9F"/>
    <w:rsid w:val="00B13694"/>
    <w:rsid w:val="00B1593E"/>
    <w:rsid w:val="00B17CBC"/>
    <w:rsid w:val="00B22578"/>
    <w:rsid w:val="00B22ABF"/>
    <w:rsid w:val="00B22CDD"/>
    <w:rsid w:val="00B31EF9"/>
    <w:rsid w:val="00B34AA9"/>
    <w:rsid w:val="00B352E1"/>
    <w:rsid w:val="00B364DB"/>
    <w:rsid w:val="00B41C5A"/>
    <w:rsid w:val="00B43442"/>
    <w:rsid w:val="00B450D8"/>
    <w:rsid w:val="00B456E7"/>
    <w:rsid w:val="00B47F5A"/>
    <w:rsid w:val="00B51A0D"/>
    <w:rsid w:val="00B54B9C"/>
    <w:rsid w:val="00B554EA"/>
    <w:rsid w:val="00B55B24"/>
    <w:rsid w:val="00B602E4"/>
    <w:rsid w:val="00B639E2"/>
    <w:rsid w:val="00B727E0"/>
    <w:rsid w:val="00B73892"/>
    <w:rsid w:val="00B74426"/>
    <w:rsid w:val="00B818BE"/>
    <w:rsid w:val="00B82FCA"/>
    <w:rsid w:val="00B83884"/>
    <w:rsid w:val="00B90A0F"/>
    <w:rsid w:val="00B90D45"/>
    <w:rsid w:val="00B940D9"/>
    <w:rsid w:val="00B94589"/>
    <w:rsid w:val="00B9667D"/>
    <w:rsid w:val="00BA072D"/>
    <w:rsid w:val="00BA08A7"/>
    <w:rsid w:val="00BA1201"/>
    <w:rsid w:val="00BA7638"/>
    <w:rsid w:val="00BA77DC"/>
    <w:rsid w:val="00BB3FA6"/>
    <w:rsid w:val="00BB436A"/>
    <w:rsid w:val="00BC084B"/>
    <w:rsid w:val="00BC3775"/>
    <w:rsid w:val="00BC6884"/>
    <w:rsid w:val="00BD7267"/>
    <w:rsid w:val="00BE112B"/>
    <w:rsid w:val="00BE5173"/>
    <w:rsid w:val="00BE6421"/>
    <w:rsid w:val="00BE6E68"/>
    <w:rsid w:val="00BE77F2"/>
    <w:rsid w:val="00BE7F03"/>
    <w:rsid w:val="00BF016B"/>
    <w:rsid w:val="00BF0C56"/>
    <w:rsid w:val="00BF0CB0"/>
    <w:rsid w:val="00BF2297"/>
    <w:rsid w:val="00BF2D11"/>
    <w:rsid w:val="00BF5C95"/>
    <w:rsid w:val="00BF5FA8"/>
    <w:rsid w:val="00BF7291"/>
    <w:rsid w:val="00C0128D"/>
    <w:rsid w:val="00C01D74"/>
    <w:rsid w:val="00C02026"/>
    <w:rsid w:val="00C02205"/>
    <w:rsid w:val="00C02E73"/>
    <w:rsid w:val="00C036D9"/>
    <w:rsid w:val="00C05BDF"/>
    <w:rsid w:val="00C070CF"/>
    <w:rsid w:val="00C10321"/>
    <w:rsid w:val="00C117E1"/>
    <w:rsid w:val="00C12344"/>
    <w:rsid w:val="00C15DD6"/>
    <w:rsid w:val="00C16800"/>
    <w:rsid w:val="00C17269"/>
    <w:rsid w:val="00C1730D"/>
    <w:rsid w:val="00C174EB"/>
    <w:rsid w:val="00C27FFE"/>
    <w:rsid w:val="00C32A1A"/>
    <w:rsid w:val="00C32C5C"/>
    <w:rsid w:val="00C35BED"/>
    <w:rsid w:val="00C37683"/>
    <w:rsid w:val="00C4270B"/>
    <w:rsid w:val="00C44028"/>
    <w:rsid w:val="00C44605"/>
    <w:rsid w:val="00C4576A"/>
    <w:rsid w:val="00C50C5C"/>
    <w:rsid w:val="00C5132D"/>
    <w:rsid w:val="00C5707E"/>
    <w:rsid w:val="00C60C5E"/>
    <w:rsid w:val="00C6525E"/>
    <w:rsid w:val="00C670FB"/>
    <w:rsid w:val="00C705F9"/>
    <w:rsid w:val="00C70B65"/>
    <w:rsid w:val="00C72DE0"/>
    <w:rsid w:val="00C73D77"/>
    <w:rsid w:val="00C73EAC"/>
    <w:rsid w:val="00C757A1"/>
    <w:rsid w:val="00C77378"/>
    <w:rsid w:val="00C77CEB"/>
    <w:rsid w:val="00C82796"/>
    <w:rsid w:val="00C83DBD"/>
    <w:rsid w:val="00C83EC0"/>
    <w:rsid w:val="00C86234"/>
    <w:rsid w:val="00C8691A"/>
    <w:rsid w:val="00C93CF3"/>
    <w:rsid w:val="00C941FD"/>
    <w:rsid w:val="00CA4F54"/>
    <w:rsid w:val="00CA718F"/>
    <w:rsid w:val="00CB2093"/>
    <w:rsid w:val="00CB2D4F"/>
    <w:rsid w:val="00CB2F42"/>
    <w:rsid w:val="00CB5D26"/>
    <w:rsid w:val="00CB66DF"/>
    <w:rsid w:val="00CC1B08"/>
    <w:rsid w:val="00CC1F50"/>
    <w:rsid w:val="00CC359B"/>
    <w:rsid w:val="00CC4030"/>
    <w:rsid w:val="00CC44BF"/>
    <w:rsid w:val="00CC67DB"/>
    <w:rsid w:val="00CD30C0"/>
    <w:rsid w:val="00CD500A"/>
    <w:rsid w:val="00CD696F"/>
    <w:rsid w:val="00CE03F2"/>
    <w:rsid w:val="00CE1CD0"/>
    <w:rsid w:val="00CE3E1A"/>
    <w:rsid w:val="00CE5500"/>
    <w:rsid w:val="00CE7697"/>
    <w:rsid w:val="00CF45FD"/>
    <w:rsid w:val="00CF651A"/>
    <w:rsid w:val="00CF7D4F"/>
    <w:rsid w:val="00D0234C"/>
    <w:rsid w:val="00D059C3"/>
    <w:rsid w:val="00D05F41"/>
    <w:rsid w:val="00D0703A"/>
    <w:rsid w:val="00D10D49"/>
    <w:rsid w:val="00D1240A"/>
    <w:rsid w:val="00D14800"/>
    <w:rsid w:val="00D21382"/>
    <w:rsid w:val="00D21490"/>
    <w:rsid w:val="00D24FA7"/>
    <w:rsid w:val="00D25869"/>
    <w:rsid w:val="00D271E6"/>
    <w:rsid w:val="00D31093"/>
    <w:rsid w:val="00D31FB7"/>
    <w:rsid w:val="00D34590"/>
    <w:rsid w:val="00D418D8"/>
    <w:rsid w:val="00D43197"/>
    <w:rsid w:val="00D43D80"/>
    <w:rsid w:val="00D50942"/>
    <w:rsid w:val="00D532CE"/>
    <w:rsid w:val="00D538B7"/>
    <w:rsid w:val="00D56639"/>
    <w:rsid w:val="00D57432"/>
    <w:rsid w:val="00D62724"/>
    <w:rsid w:val="00D647FA"/>
    <w:rsid w:val="00D67742"/>
    <w:rsid w:val="00D67DA1"/>
    <w:rsid w:val="00D702B3"/>
    <w:rsid w:val="00D730E9"/>
    <w:rsid w:val="00D746E9"/>
    <w:rsid w:val="00D74C4C"/>
    <w:rsid w:val="00D75115"/>
    <w:rsid w:val="00D769BE"/>
    <w:rsid w:val="00D76B07"/>
    <w:rsid w:val="00D80B43"/>
    <w:rsid w:val="00D81679"/>
    <w:rsid w:val="00D85D80"/>
    <w:rsid w:val="00D86D48"/>
    <w:rsid w:val="00D87F27"/>
    <w:rsid w:val="00D87F36"/>
    <w:rsid w:val="00D91BCF"/>
    <w:rsid w:val="00D932FD"/>
    <w:rsid w:val="00D9413A"/>
    <w:rsid w:val="00D9418A"/>
    <w:rsid w:val="00D95BE9"/>
    <w:rsid w:val="00D96C3D"/>
    <w:rsid w:val="00D976DC"/>
    <w:rsid w:val="00DA75CE"/>
    <w:rsid w:val="00DA7FF4"/>
    <w:rsid w:val="00DB0490"/>
    <w:rsid w:val="00DB0F5D"/>
    <w:rsid w:val="00DB394F"/>
    <w:rsid w:val="00DB560A"/>
    <w:rsid w:val="00DB5888"/>
    <w:rsid w:val="00DC16F2"/>
    <w:rsid w:val="00DC388D"/>
    <w:rsid w:val="00DD0682"/>
    <w:rsid w:val="00DD0E8A"/>
    <w:rsid w:val="00DD11B0"/>
    <w:rsid w:val="00DD4B45"/>
    <w:rsid w:val="00DD5A40"/>
    <w:rsid w:val="00DE3AC8"/>
    <w:rsid w:val="00DE5444"/>
    <w:rsid w:val="00DE60FD"/>
    <w:rsid w:val="00DE7287"/>
    <w:rsid w:val="00DE72E3"/>
    <w:rsid w:val="00DF1DCC"/>
    <w:rsid w:val="00DF3396"/>
    <w:rsid w:val="00DF371A"/>
    <w:rsid w:val="00DF37CC"/>
    <w:rsid w:val="00DF6E9E"/>
    <w:rsid w:val="00DF7497"/>
    <w:rsid w:val="00E01980"/>
    <w:rsid w:val="00E0659D"/>
    <w:rsid w:val="00E06CB2"/>
    <w:rsid w:val="00E12163"/>
    <w:rsid w:val="00E154AA"/>
    <w:rsid w:val="00E15EF8"/>
    <w:rsid w:val="00E20C75"/>
    <w:rsid w:val="00E23B4F"/>
    <w:rsid w:val="00E2475F"/>
    <w:rsid w:val="00E2532E"/>
    <w:rsid w:val="00E27207"/>
    <w:rsid w:val="00E30B65"/>
    <w:rsid w:val="00E3453A"/>
    <w:rsid w:val="00E34837"/>
    <w:rsid w:val="00E37598"/>
    <w:rsid w:val="00E376C9"/>
    <w:rsid w:val="00E406FE"/>
    <w:rsid w:val="00E41FA5"/>
    <w:rsid w:val="00E45BC0"/>
    <w:rsid w:val="00E472FD"/>
    <w:rsid w:val="00E5151C"/>
    <w:rsid w:val="00E538FC"/>
    <w:rsid w:val="00E55C55"/>
    <w:rsid w:val="00E55E45"/>
    <w:rsid w:val="00E56FE8"/>
    <w:rsid w:val="00E6364D"/>
    <w:rsid w:val="00E63B45"/>
    <w:rsid w:val="00E658F8"/>
    <w:rsid w:val="00E66CA7"/>
    <w:rsid w:val="00E70058"/>
    <w:rsid w:val="00E7131C"/>
    <w:rsid w:val="00E76762"/>
    <w:rsid w:val="00E76E2E"/>
    <w:rsid w:val="00E8010A"/>
    <w:rsid w:val="00E90134"/>
    <w:rsid w:val="00E9185A"/>
    <w:rsid w:val="00E95AEE"/>
    <w:rsid w:val="00E96753"/>
    <w:rsid w:val="00E96774"/>
    <w:rsid w:val="00EA103E"/>
    <w:rsid w:val="00EA4B97"/>
    <w:rsid w:val="00EB130D"/>
    <w:rsid w:val="00EB423F"/>
    <w:rsid w:val="00EB47B7"/>
    <w:rsid w:val="00EC0BEC"/>
    <w:rsid w:val="00EC0FEB"/>
    <w:rsid w:val="00EC2F49"/>
    <w:rsid w:val="00EC7038"/>
    <w:rsid w:val="00ED225F"/>
    <w:rsid w:val="00ED300F"/>
    <w:rsid w:val="00ED3F16"/>
    <w:rsid w:val="00EE593C"/>
    <w:rsid w:val="00EF0061"/>
    <w:rsid w:val="00EF18E2"/>
    <w:rsid w:val="00EF53FE"/>
    <w:rsid w:val="00F00EE9"/>
    <w:rsid w:val="00F033B4"/>
    <w:rsid w:val="00F041BC"/>
    <w:rsid w:val="00F04293"/>
    <w:rsid w:val="00F062FB"/>
    <w:rsid w:val="00F063C0"/>
    <w:rsid w:val="00F07828"/>
    <w:rsid w:val="00F07B48"/>
    <w:rsid w:val="00F07FE4"/>
    <w:rsid w:val="00F14E54"/>
    <w:rsid w:val="00F23643"/>
    <w:rsid w:val="00F23757"/>
    <w:rsid w:val="00F24950"/>
    <w:rsid w:val="00F43720"/>
    <w:rsid w:val="00F47501"/>
    <w:rsid w:val="00F50CEB"/>
    <w:rsid w:val="00F52E09"/>
    <w:rsid w:val="00F55829"/>
    <w:rsid w:val="00F57815"/>
    <w:rsid w:val="00F57969"/>
    <w:rsid w:val="00F601AE"/>
    <w:rsid w:val="00F652C9"/>
    <w:rsid w:val="00F65517"/>
    <w:rsid w:val="00F703B8"/>
    <w:rsid w:val="00F706BF"/>
    <w:rsid w:val="00F72CF9"/>
    <w:rsid w:val="00F73519"/>
    <w:rsid w:val="00F767B0"/>
    <w:rsid w:val="00F76C67"/>
    <w:rsid w:val="00F772E4"/>
    <w:rsid w:val="00F811FB"/>
    <w:rsid w:val="00F812BA"/>
    <w:rsid w:val="00F832D3"/>
    <w:rsid w:val="00F835BA"/>
    <w:rsid w:val="00F83800"/>
    <w:rsid w:val="00F84A77"/>
    <w:rsid w:val="00F9007A"/>
    <w:rsid w:val="00F90587"/>
    <w:rsid w:val="00F90D53"/>
    <w:rsid w:val="00F9148C"/>
    <w:rsid w:val="00F91AF6"/>
    <w:rsid w:val="00F927AA"/>
    <w:rsid w:val="00F94DDF"/>
    <w:rsid w:val="00FA2AD4"/>
    <w:rsid w:val="00FA42AC"/>
    <w:rsid w:val="00FA4F5B"/>
    <w:rsid w:val="00FA548E"/>
    <w:rsid w:val="00FA55B7"/>
    <w:rsid w:val="00FB0EBF"/>
    <w:rsid w:val="00FB3325"/>
    <w:rsid w:val="00FB44FA"/>
    <w:rsid w:val="00FB607C"/>
    <w:rsid w:val="00FB6B1F"/>
    <w:rsid w:val="00FC0713"/>
    <w:rsid w:val="00FC53F6"/>
    <w:rsid w:val="00FC681E"/>
    <w:rsid w:val="00FD2534"/>
    <w:rsid w:val="00FD27A2"/>
    <w:rsid w:val="00FD4875"/>
    <w:rsid w:val="00FD50F2"/>
    <w:rsid w:val="00FE0ADF"/>
    <w:rsid w:val="00FE12F7"/>
    <w:rsid w:val="00FE5EC2"/>
    <w:rsid w:val="00FE706C"/>
    <w:rsid w:val="00FF61D8"/>
    <w:rsid w:val="04865808"/>
    <w:rsid w:val="59CD16FD"/>
    <w:rsid w:val="6CFA2627"/>
    <w:rsid w:val="772C23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仿宋_GB2312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9">
    <w:name w:val="Default Paragraph Font"/>
    <w:link w:val="10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640" w:firstLineChars="200"/>
    </w:pPr>
    <w:rPr>
      <w:rFonts w:eastAsia="仿宋_GB2312"/>
      <w:sz w:val="32"/>
    </w:rPr>
  </w:style>
  <w:style w:type="paragraph" w:styleId="3">
    <w:name w:val="Date"/>
    <w:basedOn w:val="1"/>
    <w:next w:val="1"/>
    <w:qFormat/>
    <w:uiPriority w:val="0"/>
    <w:pPr>
      <w:ind w:left="100" w:leftChars="2500"/>
    </w:pPr>
  </w:style>
  <w:style w:type="paragraph" w:styleId="4">
    <w:name w:val="Body Text Indent 2"/>
    <w:basedOn w:val="1"/>
    <w:qFormat/>
    <w:uiPriority w:val="0"/>
    <w:pPr>
      <w:spacing w:before="100" w:line="120" w:lineRule="auto"/>
      <w:ind w:firstLine="674" w:firstLineChars="200"/>
    </w:pPr>
    <w:rPr>
      <w:rFonts w:ascii="仿宋_GB2312" w:eastAsia="仿宋_GB2312"/>
      <w:sz w:val="32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customStyle="1" w:styleId="10">
    <w:name w:val="Char"/>
    <w:basedOn w:val="1"/>
    <w:link w:val="9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4"/>
      <w:szCs w:val="20"/>
      <w:lang w:eastAsia="en-US"/>
    </w:rPr>
  </w:style>
  <w:style w:type="character" w:styleId="11">
    <w:name w:val="page numb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453</Words>
  <Characters>2586</Characters>
  <Lines>21</Lines>
  <Paragraphs>6</Paragraphs>
  <TotalTime>0</TotalTime>
  <ScaleCrop>false</ScaleCrop>
  <LinksUpToDate>false</LinksUpToDate>
  <CharactersWithSpaces>3033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2013-06-07T02:07:00Z</dcterms:created>
  <dc:creator>user</dc:creator>
  <cp:lastModifiedBy>TF-PC</cp:lastModifiedBy>
  <cp:lastPrinted>2013-06-09T00:38:00Z</cp:lastPrinted>
  <dcterms:modified xsi:type="dcterms:W3CDTF">2018-08-27T09:42:38Z</dcterms:modified>
  <dc:title>天津市北辰区人民法院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