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60" w:lineRule="auto"/>
        <w:jc w:val="center"/>
        <w:rPr>
          <w:rFonts w:ascii="楷体" w:hAnsi="楷体" w:eastAsia="楷体" w:cs="宋体"/>
          <w:color w:val="000000"/>
          <w:kern w:val="0"/>
          <w:sz w:val="44"/>
          <w:szCs w:val="44"/>
        </w:rPr>
      </w:pPr>
      <w:bookmarkStart w:id="0" w:name="_GoBack"/>
      <w:bookmarkEnd w:id="0"/>
      <w:r>
        <w:rPr>
          <w:rFonts w:hint="eastAsia" w:ascii="楷体" w:hAnsi="楷体" w:eastAsia="楷体" w:cs="宋体"/>
          <w:color w:val="000000"/>
          <w:kern w:val="0"/>
          <w:sz w:val="44"/>
          <w:szCs w:val="44"/>
        </w:rPr>
        <w:t>天津市河西区人民法院</w:t>
      </w:r>
    </w:p>
    <w:p>
      <w:pPr>
        <w:widowControl/>
        <w:adjustRightInd w:val="0"/>
        <w:snapToGrid w:val="0"/>
        <w:spacing w:line="360" w:lineRule="auto"/>
        <w:jc w:val="center"/>
        <w:rPr>
          <w:rFonts w:hint="eastAsia" w:ascii="黑体" w:hAnsi="黑体" w:eastAsia="黑体"/>
          <w:color w:val="000000"/>
          <w:kern w:val="0"/>
          <w:sz w:val="52"/>
          <w:szCs w:val="52"/>
        </w:rPr>
      </w:pPr>
      <w:r>
        <w:rPr>
          <w:rFonts w:hint="eastAsia" w:ascii="黑体" w:hAnsi="黑体" w:eastAsia="黑体"/>
          <w:color w:val="000000"/>
          <w:kern w:val="0"/>
          <w:sz w:val="52"/>
          <w:szCs w:val="52"/>
        </w:rPr>
        <w:t>刑 事 判 决 书</w:t>
      </w:r>
    </w:p>
    <w:p>
      <w:pPr>
        <w:spacing w:line="500" w:lineRule="exact"/>
        <w:ind w:right="175"/>
        <w:rPr>
          <w:rFonts w:hint="eastAsia" w:ascii="仿宋" w:hAnsi="仿宋" w:eastAsia="仿宋"/>
          <w:color w:val="000000"/>
          <w:kern w:val="0"/>
          <w:sz w:val="32"/>
          <w:szCs w:val="32"/>
        </w:rPr>
      </w:pPr>
    </w:p>
    <w:p>
      <w:pPr>
        <w:wordWrap w:val="0"/>
        <w:spacing w:line="500" w:lineRule="exact"/>
        <w:ind w:right="175"/>
        <w:jc w:val="right"/>
        <w:rPr>
          <w:rFonts w:eastAsia="仿宋"/>
          <w:sz w:val="32"/>
          <w:szCs w:val="32"/>
        </w:rPr>
      </w:pPr>
      <w:r>
        <w:rPr>
          <w:rFonts w:ascii="仿宋" w:hAnsi="仿宋" w:eastAsia="仿宋"/>
          <w:color w:val="000000"/>
          <w:kern w:val="0"/>
          <w:sz w:val="32"/>
          <w:szCs w:val="32"/>
        </w:rPr>
        <w:t xml:space="preserve">      </w:t>
      </w:r>
      <w:r>
        <w:rPr>
          <w:rFonts w:hint="eastAsia" w:ascii="仿宋" w:hAnsi="仿宋" w:eastAsia="仿宋"/>
          <w:color w:val="000000"/>
          <w:kern w:val="0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（</w:t>
      </w:r>
      <w:r>
        <w:rPr>
          <w:rFonts w:eastAsia="仿宋"/>
          <w:sz w:val="32"/>
          <w:szCs w:val="32"/>
        </w:rPr>
        <w:t>201</w:t>
      </w:r>
      <w:r>
        <w:rPr>
          <w:rFonts w:hint="eastAsia" w:eastAsia="仿宋"/>
          <w:sz w:val="32"/>
          <w:szCs w:val="32"/>
        </w:rPr>
        <w:t>8</w:t>
      </w:r>
      <w:r>
        <w:rPr>
          <w:rFonts w:hAnsi="仿宋" w:eastAsia="仿宋"/>
          <w:sz w:val="32"/>
          <w:szCs w:val="32"/>
        </w:rPr>
        <w:t>）津</w:t>
      </w:r>
      <w:r>
        <w:rPr>
          <w:rFonts w:eastAsia="仿宋"/>
          <w:sz w:val="32"/>
          <w:szCs w:val="32"/>
        </w:rPr>
        <w:t>0103</w:t>
      </w:r>
      <w:r>
        <w:rPr>
          <w:rFonts w:hAnsi="仿宋" w:eastAsia="仿宋"/>
          <w:sz w:val="32"/>
          <w:szCs w:val="32"/>
        </w:rPr>
        <w:t>刑初</w:t>
      </w:r>
      <w:r>
        <w:rPr>
          <w:rFonts w:hint="eastAsia" w:eastAsia="仿宋"/>
          <w:sz w:val="32"/>
          <w:szCs w:val="32"/>
        </w:rPr>
        <w:t>38</w:t>
      </w:r>
      <w:r>
        <w:rPr>
          <w:rFonts w:hAnsi="仿宋" w:eastAsia="仿宋"/>
          <w:sz w:val="32"/>
          <w:szCs w:val="32"/>
        </w:rPr>
        <w:t>号</w:t>
      </w:r>
    </w:p>
    <w:p>
      <w:pPr>
        <w:spacing w:line="500" w:lineRule="exact"/>
        <w:ind w:right="175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被告人岳普庆，男，</w:t>
      </w:r>
      <w:r>
        <w:rPr>
          <w:rFonts w:hint="eastAsia" w:ascii="仿宋" w:hAnsi="仿宋" w:eastAsia="仿宋" w:cs="宋体"/>
          <w:sz w:val="32"/>
          <w:szCs w:val="32"/>
        </w:rPr>
        <w:t>1981年12月30日</w:t>
      </w:r>
      <w:r>
        <w:rPr>
          <w:rFonts w:ascii="仿宋" w:hAnsi="仿宋" w:eastAsia="仿宋"/>
          <w:sz w:val="32"/>
          <w:szCs w:val="32"/>
        </w:rPr>
        <w:t>出生于</w:t>
      </w:r>
      <w:r>
        <w:rPr>
          <w:rFonts w:hint="eastAsia" w:ascii="仿宋" w:hAnsi="仿宋" w:eastAsia="仿宋"/>
          <w:sz w:val="32"/>
          <w:szCs w:val="32"/>
        </w:rPr>
        <w:t>天津市宝坻区</w:t>
      </w:r>
      <w:r>
        <w:rPr>
          <w:rFonts w:ascii="仿宋" w:hAnsi="仿宋" w:eastAsia="仿宋"/>
          <w:sz w:val="32"/>
          <w:szCs w:val="32"/>
        </w:rPr>
        <w:t>，公民身份号码</w:t>
      </w:r>
      <w:r>
        <w:rPr>
          <w:rFonts w:hint="eastAsia" w:ascii="仿宋" w:hAnsi="仿宋" w:eastAsia="仿宋" w:cs="宋体"/>
          <w:sz w:val="32"/>
          <w:szCs w:val="32"/>
        </w:rPr>
        <w:t>12022419811230243X</w:t>
      </w:r>
      <w:r>
        <w:rPr>
          <w:rFonts w:ascii="仿宋" w:hAnsi="仿宋" w:eastAsia="仿宋"/>
          <w:sz w:val="32"/>
          <w:szCs w:val="32"/>
        </w:rPr>
        <w:t>，汉族，</w:t>
      </w:r>
      <w:r>
        <w:rPr>
          <w:rFonts w:hint="eastAsia" w:ascii="仿宋" w:hAnsi="仿宋" w:eastAsia="仿宋"/>
          <w:sz w:val="32"/>
          <w:szCs w:val="32"/>
        </w:rPr>
        <w:t>大</w:t>
      </w:r>
      <w:r>
        <w:rPr>
          <w:rFonts w:ascii="仿宋" w:hAnsi="仿宋" w:eastAsia="仿宋"/>
          <w:sz w:val="32"/>
          <w:szCs w:val="32"/>
        </w:rPr>
        <w:t>专文化，无职业，住天津市</w:t>
      </w:r>
      <w:r>
        <w:rPr>
          <w:rFonts w:hint="eastAsia" w:ascii="仿宋" w:hAnsi="仿宋" w:eastAsia="仿宋" w:cs="宋体"/>
          <w:sz w:val="32"/>
          <w:szCs w:val="32"/>
        </w:rPr>
        <w:t>宝坻区城关镇中保宏发楼2号楼3门302号，户籍地天津市宝坻区马家店镇潮阳街烧角村1排38号</w:t>
      </w:r>
      <w:r>
        <w:rPr>
          <w:rFonts w:ascii="仿宋" w:hAnsi="仿宋" w:eastAsia="仿宋"/>
          <w:sz w:val="32"/>
          <w:szCs w:val="32"/>
        </w:rPr>
        <w:t>。</w:t>
      </w:r>
      <w:r>
        <w:rPr>
          <w:rFonts w:hint="eastAsia" w:ascii="仿宋" w:hAnsi="仿宋" w:eastAsia="仿宋" w:cs="宋体"/>
          <w:sz w:val="32"/>
          <w:szCs w:val="32"/>
        </w:rPr>
        <w:t>2017年11月28日被刑事拘留，2017年12月1日</w:t>
      </w:r>
      <w:r>
        <w:rPr>
          <w:rFonts w:ascii="仿宋" w:hAnsi="仿宋" w:eastAsia="仿宋"/>
          <w:sz w:val="32"/>
          <w:szCs w:val="32"/>
        </w:rPr>
        <w:t>因涉嫌犯有信用卡诈骗罪被取保候审。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辩护人李晓曼，天津金国律师事务所律师。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天津市河西区人民检察院以津西检公诉刑诉</w:t>
      </w:r>
      <w:r>
        <w:rPr>
          <w:rFonts w:eastAsia="仿宋"/>
          <w:sz w:val="32"/>
          <w:szCs w:val="32"/>
        </w:rPr>
        <w:t>[201</w:t>
      </w:r>
      <w:r>
        <w:rPr>
          <w:rFonts w:hint="eastAsia" w:eastAsia="仿宋"/>
          <w:sz w:val="32"/>
          <w:szCs w:val="32"/>
        </w:rPr>
        <w:t>8</w:t>
      </w:r>
      <w:r>
        <w:rPr>
          <w:rFonts w:eastAsia="仿宋"/>
          <w:sz w:val="32"/>
          <w:szCs w:val="32"/>
        </w:rPr>
        <w:t>]</w:t>
      </w:r>
      <w:r>
        <w:rPr>
          <w:rFonts w:hint="eastAsia" w:eastAsia="仿宋"/>
          <w:sz w:val="32"/>
          <w:szCs w:val="32"/>
        </w:rPr>
        <w:t>25</w:t>
      </w:r>
      <w:r>
        <w:rPr>
          <w:rFonts w:hAnsi="仿宋" w:eastAsia="仿宋"/>
          <w:sz w:val="32"/>
          <w:szCs w:val="32"/>
        </w:rPr>
        <w:t>号起诉书指控被告人岳普庆犯信用卡诈骗罪，于</w:t>
      </w:r>
      <w:r>
        <w:rPr>
          <w:rFonts w:eastAsia="仿宋"/>
          <w:sz w:val="32"/>
          <w:szCs w:val="32"/>
        </w:rPr>
        <w:t>201</w:t>
      </w:r>
      <w:r>
        <w:rPr>
          <w:rFonts w:hint="eastAsia" w:eastAsia="仿宋"/>
          <w:sz w:val="32"/>
          <w:szCs w:val="32"/>
        </w:rPr>
        <w:t>8</w:t>
      </w:r>
      <w:r>
        <w:rPr>
          <w:rFonts w:hAnsi="仿宋" w:eastAsia="仿宋"/>
          <w:sz w:val="32"/>
          <w:szCs w:val="32"/>
        </w:rPr>
        <w:t>年</w:t>
      </w:r>
      <w:r>
        <w:rPr>
          <w:rFonts w:hint="eastAsia" w:eastAsia="仿宋"/>
          <w:sz w:val="32"/>
          <w:szCs w:val="32"/>
        </w:rPr>
        <w:t>1</w:t>
      </w:r>
      <w:r>
        <w:rPr>
          <w:rFonts w:hAnsi="仿宋" w:eastAsia="仿宋"/>
          <w:sz w:val="32"/>
          <w:szCs w:val="32"/>
        </w:rPr>
        <w:t>月</w:t>
      </w:r>
      <w:r>
        <w:rPr>
          <w:rFonts w:hint="eastAsia" w:eastAsia="仿宋"/>
          <w:sz w:val="32"/>
          <w:szCs w:val="32"/>
        </w:rPr>
        <w:t>3</w:t>
      </w:r>
      <w:r>
        <w:rPr>
          <w:rFonts w:hAnsi="仿宋" w:eastAsia="仿宋"/>
          <w:sz w:val="32"/>
          <w:szCs w:val="32"/>
        </w:rPr>
        <w:t>日向本院提起公诉，并提出量刑建议。本院依法</w:t>
      </w:r>
      <w:r>
        <w:rPr>
          <w:rFonts w:hint="eastAsia" w:hAnsi="仿宋" w:eastAsia="仿宋"/>
          <w:sz w:val="32"/>
          <w:szCs w:val="32"/>
        </w:rPr>
        <w:t>适用简易程序</w:t>
      </w:r>
      <w:r>
        <w:rPr>
          <w:rFonts w:hAnsi="仿宋" w:eastAsia="仿宋"/>
          <w:sz w:val="32"/>
          <w:szCs w:val="32"/>
        </w:rPr>
        <w:t>，</w:t>
      </w:r>
      <w:r>
        <w:rPr>
          <w:rFonts w:hint="eastAsia" w:hAnsi="仿宋" w:eastAsia="仿宋"/>
          <w:sz w:val="32"/>
          <w:szCs w:val="32"/>
        </w:rPr>
        <w:t>实行独任审判，</w:t>
      </w:r>
      <w:r>
        <w:rPr>
          <w:rFonts w:hAnsi="仿宋" w:eastAsia="仿宋"/>
          <w:sz w:val="32"/>
          <w:szCs w:val="32"/>
        </w:rPr>
        <w:t>公开开庭审理了本案。天津市河西区人民检察院指派检察员</w:t>
      </w:r>
      <w:r>
        <w:rPr>
          <w:rFonts w:hint="eastAsia" w:hAnsi="仿宋" w:eastAsia="仿宋"/>
          <w:sz w:val="32"/>
          <w:szCs w:val="32"/>
        </w:rPr>
        <w:t>刘杰</w:t>
      </w:r>
      <w:r>
        <w:rPr>
          <w:rFonts w:hAnsi="仿宋" w:eastAsia="仿宋"/>
          <w:sz w:val="32"/>
          <w:szCs w:val="32"/>
        </w:rPr>
        <w:t>出庭支持公诉，被告人岳普庆</w:t>
      </w:r>
      <w:r>
        <w:rPr>
          <w:rFonts w:hint="eastAsia" w:hAnsi="仿宋" w:eastAsia="仿宋"/>
          <w:sz w:val="32"/>
          <w:szCs w:val="32"/>
        </w:rPr>
        <w:t>及其辩护人李晓曼</w:t>
      </w:r>
      <w:r>
        <w:rPr>
          <w:rFonts w:hAnsi="仿宋" w:eastAsia="仿宋"/>
          <w:sz w:val="32"/>
          <w:szCs w:val="32"/>
        </w:rPr>
        <w:t>到庭参加了诉讼。现已审理终结。</w:t>
      </w:r>
    </w:p>
    <w:p>
      <w:pPr>
        <w:spacing w:line="500" w:lineRule="exact"/>
        <w:ind w:firstLine="640" w:firstLineChars="200"/>
        <w:rPr>
          <w:rFonts w:hint="eastAsia" w:ascii="仿宋" w:hAnsi="仿宋" w:eastAsia="仿宋" w:cs="宋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天津市河西区人民检察院指控</w:t>
      </w:r>
      <w:r>
        <w:rPr>
          <w:rFonts w:ascii="仿宋" w:hAnsi="仿宋" w:eastAsia="仿宋"/>
          <w:sz w:val="32"/>
          <w:szCs w:val="32"/>
        </w:rPr>
        <w:t>，</w:t>
      </w:r>
      <w:r>
        <w:rPr>
          <w:rFonts w:hint="eastAsia" w:ascii="仿宋" w:hAnsi="仿宋" w:eastAsia="仿宋" w:cs="宋体"/>
          <w:sz w:val="32"/>
          <w:szCs w:val="32"/>
        </w:rPr>
        <w:t>2013年9月12日，被告人岳普庆以其个人名义申领卡号为6225551420507285的广发银行股份有限公司（以下简称广发银行）信用卡一张，后于2013年9月26日使用该卡透支消费。2015年11月27日，被告人岳普庆最后一次还款人民币4000元后未再进行偿还，经广发银行多次催收，被告人岳普庆仍拒不归还欠款。截至2017年11月7日，被告人岳普庆欠款本金共计人民币31979.29元。2017年11月28日，被告人岳普庆被公安人员抓获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上述事实，被告人岳普庆在开庭审理过程中无异议，且表示认罪，并有信用卡申请材料</w:t>
      </w:r>
      <w:r>
        <w:rPr>
          <w:rFonts w:hint="eastAsia" w:hAnsi="仿宋" w:eastAsia="仿宋"/>
          <w:sz w:val="32"/>
          <w:szCs w:val="32"/>
        </w:rPr>
        <w:t>、</w:t>
      </w:r>
      <w:r>
        <w:rPr>
          <w:rFonts w:hAnsi="仿宋" w:eastAsia="仿宋"/>
          <w:sz w:val="32"/>
          <w:szCs w:val="32"/>
        </w:rPr>
        <w:t>催收记录</w:t>
      </w:r>
      <w:r>
        <w:rPr>
          <w:rFonts w:hint="eastAsia" w:hAnsi="仿宋" w:eastAsia="仿宋"/>
          <w:sz w:val="32"/>
          <w:szCs w:val="32"/>
        </w:rPr>
        <w:t>、广发银行信用卡历史对账单交易记录</w:t>
      </w:r>
      <w:r>
        <w:rPr>
          <w:rFonts w:hAnsi="仿宋" w:eastAsia="仿宋"/>
          <w:sz w:val="32"/>
          <w:szCs w:val="32"/>
        </w:rPr>
        <w:t>、</w:t>
      </w:r>
      <w:r>
        <w:rPr>
          <w:rFonts w:hint="eastAsia" w:hAnsi="仿宋" w:eastAsia="仿宋"/>
          <w:sz w:val="32"/>
          <w:szCs w:val="32"/>
        </w:rPr>
        <w:t>广发银行出具的还款情况说明等书证，</w:t>
      </w:r>
      <w:r>
        <w:rPr>
          <w:rFonts w:hAnsi="仿宋" w:eastAsia="仿宋"/>
          <w:sz w:val="32"/>
          <w:szCs w:val="32"/>
        </w:rPr>
        <w:t>被害单位代理人</w:t>
      </w:r>
      <w:r>
        <w:rPr>
          <w:rFonts w:hint="eastAsia" w:hAnsi="仿宋" w:eastAsia="仿宋"/>
          <w:sz w:val="32"/>
          <w:szCs w:val="32"/>
        </w:rPr>
        <w:t>李某</w:t>
      </w:r>
      <w:r>
        <w:rPr>
          <w:rFonts w:hAnsi="仿宋" w:eastAsia="仿宋"/>
          <w:sz w:val="32"/>
          <w:szCs w:val="32"/>
        </w:rPr>
        <w:t>陈述，</w:t>
      </w:r>
      <w:r>
        <w:rPr>
          <w:rFonts w:hint="eastAsia" w:hAnsi="仿宋" w:eastAsia="仿宋"/>
          <w:sz w:val="32"/>
          <w:szCs w:val="32"/>
        </w:rPr>
        <w:t>公安机关出具的案件来源、抓获经过</w:t>
      </w:r>
      <w:r>
        <w:rPr>
          <w:rFonts w:hAnsi="仿宋" w:eastAsia="仿宋"/>
          <w:sz w:val="32"/>
          <w:szCs w:val="32"/>
        </w:rPr>
        <w:t>等证据予以证实，足以认定。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本院认为，被告人岳普庆以非法占有为目的，使用信用卡恶意透支人民币</w:t>
      </w:r>
      <w:r>
        <w:rPr>
          <w:rFonts w:hint="eastAsia" w:ascii="仿宋" w:hAnsi="仿宋" w:eastAsia="仿宋" w:cs="宋体"/>
          <w:sz w:val="32"/>
          <w:szCs w:val="32"/>
        </w:rPr>
        <w:t>31979.29</w:t>
      </w:r>
      <w:r>
        <w:rPr>
          <w:rFonts w:hAnsi="仿宋" w:eastAsia="仿宋"/>
          <w:sz w:val="32"/>
          <w:szCs w:val="32"/>
        </w:rPr>
        <w:t>元，数额较大，其行为已构成信用卡诈骗罪。被告人岳普庆到案后能够如实供述自己的犯罪事实，系坦白，依法可以从轻处罚。被告人岳普庆已经偿还了银行全部欠款</w:t>
      </w:r>
      <w:r>
        <w:rPr>
          <w:rFonts w:hint="eastAsia" w:hAnsi="仿宋" w:eastAsia="仿宋"/>
          <w:sz w:val="32"/>
          <w:szCs w:val="32"/>
        </w:rPr>
        <w:t>本息</w:t>
      </w:r>
      <w:r>
        <w:rPr>
          <w:rFonts w:hAnsi="仿宋" w:eastAsia="仿宋"/>
          <w:sz w:val="32"/>
          <w:szCs w:val="32"/>
        </w:rPr>
        <w:t>，酌情</w:t>
      </w:r>
      <w:r>
        <w:rPr>
          <w:rFonts w:hint="eastAsia" w:hAnsi="仿宋" w:eastAsia="仿宋"/>
          <w:sz w:val="32"/>
          <w:szCs w:val="32"/>
        </w:rPr>
        <w:t>予以</w:t>
      </w:r>
      <w:r>
        <w:rPr>
          <w:rFonts w:hAnsi="仿宋" w:eastAsia="仿宋"/>
          <w:sz w:val="32"/>
          <w:szCs w:val="32"/>
        </w:rPr>
        <w:t>从轻处罚。</w:t>
      </w:r>
      <w:r>
        <w:rPr>
          <w:rFonts w:hint="eastAsia" w:hAnsi="仿宋" w:eastAsia="仿宋"/>
          <w:sz w:val="32"/>
          <w:szCs w:val="32"/>
        </w:rPr>
        <w:t>辩护人提出的被告人岳普庆具有坦白情节，系初犯、偶犯，已经偿还了全部欠款本息，可以从轻处罚的辩护意见，较为客观，本院予以采纳。</w:t>
      </w:r>
      <w:r>
        <w:rPr>
          <w:rFonts w:hAnsi="仿宋" w:eastAsia="仿宋"/>
          <w:kern w:val="0"/>
          <w:sz w:val="32"/>
          <w:szCs w:val="32"/>
        </w:rPr>
        <w:t>为严肃国家法律</w:t>
      </w:r>
      <w:r>
        <w:rPr>
          <w:rFonts w:hAnsi="仿宋" w:eastAsia="仿宋"/>
          <w:sz w:val="32"/>
          <w:szCs w:val="32"/>
        </w:rPr>
        <w:t>，</w:t>
      </w:r>
      <w:r>
        <w:rPr>
          <w:rFonts w:hAnsi="仿宋" w:eastAsia="仿宋"/>
          <w:kern w:val="0"/>
          <w:sz w:val="32"/>
          <w:szCs w:val="32"/>
        </w:rPr>
        <w:t>维护金融秩序，依照《中华人民共和国刑法》</w:t>
      </w:r>
      <w:r>
        <w:rPr>
          <w:rFonts w:hAnsi="仿宋" w:eastAsia="仿宋"/>
          <w:sz w:val="32"/>
          <w:szCs w:val="32"/>
        </w:rPr>
        <w:t>第一百九十六条第一款第（四）项、第二款，第六十七条第三款</w:t>
      </w:r>
      <w:r>
        <w:rPr>
          <w:rFonts w:hAnsi="仿宋" w:eastAsia="仿宋"/>
          <w:kern w:val="0"/>
          <w:sz w:val="32"/>
          <w:szCs w:val="32"/>
        </w:rPr>
        <w:t>，第七十二条，第七十三条第二款、第三款，第七十五条，第七十六条之规定，判决如下：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一、被告人岳普庆犯信用卡诈骗罪，判处有期徒刑</w:t>
      </w:r>
      <w:r>
        <w:rPr>
          <w:rFonts w:hint="eastAsia" w:ascii="Times New Roman" w:hAnsi="仿宋" w:eastAsia="仿宋" w:cs="Times New Roman"/>
          <w:sz w:val="32"/>
          <w:szCs w:val="32"/>
        </w:rPr>
        <w:t>六个月</w:t>
      </w:r>
      <w:r>
        <w:rPr>
          <w:rFonts w:ascii="Times New Roman" w:hAnsi="仿宋" w:eastAsia="仿宋" w:cs="Times New Roman"/>
          <w:sz w:val="32"/>
          <w:szCs w:val="32"/>
        </w:rPr>
        <w:t>，缓刑</w:t>
      </w:r>
      <w:r>
        <w:rPr>
          <w:rFonts w:hint="eastAsia" w:ascii="Times New Roman" w:hAnsi="仿宋" w:eastAsia="仿宋" w:cs="Times New Roman"/>
          <w:sz w:val="32"/>
          <w:szCs w:val="32"/>
        </w:rPr>
        <w:t>一</w:t>
      </w:r>
      <w:r>
        <w:rPr>
          <w:rFonts w:ascii="Times New Roman" w:hAnsi="仿宋" w:eastAsia="仿宋" w:cs="Times New Roman"/>
          <w:sz w:val="32"/>
          <w:szCs w:val="32"/>
        </w:rPr>
        <w:t>年，并处罚金人民币</w:t>
      </w:r>
      <w:r>
        <w:rPr>
          <w:rFonts w:hint="eastAsia" w:ascii="Times New Roman" w:hAnsi="Times New Roman" w:eastAsia="仿宋" w:cs="Times New Roman"/>
          <w:sz w:val="32"/>
          <w:szCs w:val="32"/>
        </w:rPr>
        <w:t>二万</w:t>
      </w:r>
      <w:r>
        <w:rPr>
          <w:rFonts w:ascii="Times New Roman" w:hAnsi="仿宋" w:eastAsia="仿宋" w:cs="Times New Roman"/>
          <w:sz w:val="32"/>
          <w:szCs w:val="32"/>
        </w:rPr>
        <w:t>元。</w:t>
      </w:r>
      <w:r>
        <w:rPr>
          <w:rFonts w:ascii="Times New Roman" w:hAnsi="Times New Roman" w:eastAsia="仿宋" w:cs="Times New Roman"/>
          <w:sz w:val="32"/>
          <w:szCs w:val="32"/>
        </w:rPr>
        <w:t>在缓刑考验期限内，依法实行社区矫正。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（缓刑考验期限，从判决确定之日起计算。）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二、禁止被告人</w:t>
      </w:r>
      <w:r>
        <w:rPr>
          <w:rFonts w:ascii="Times New Roman" w:hAnsi="仿宋" w:eastAsia="仿宋" w:cs="Times New Roman"/>
          <w:kern w:val="0"/>
          <w:sz w:val="32"/>
          <w:szCs w:val="32"/>
        </w:rPr>
        <w:t>岳普庆</w:t>
      </w:r>
      <w:r>
        <w:rPr>
          <w:rFonts w:ascii="Times New Roman" w:hAnsi="仿宋" w:eastAsia="仿宋" w:cs="Times New Roman"/>
          <w:sz w:val="32"/>
          <w:szCs w:val="32"/>
        </w:rPr>
        <w:t>在缓刑期间从事金融借贷及与金融相关的担保活动。</w:t>
      </w:r>
    </w:p>
    <w:p>
      <w:pPr>
        <w:spacing w:line="500" w:lineRule="exact"/>
        <w:ind w:firstLine="640" w:firstLineChars="200"/>
        <w:rPr>
          <w:rFonts w:hint="eastAsia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如不服本判决，可在接到判决书的第二日起十日内，通过本院或者直接向天津市第二中级人民法院提出上诉。书面上诉的，应交上诉状正本一份，副本二份。</w:t>
      </w:r>
    </w:p>
    <w:p>
      <w:pPr>
        <w:spacing w:line="500" w:lineRule="exac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（此页无正文）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      审  判  员    刘  毅</w:t>
      </w:r>
    </w:p>
    <w:p>
      <w:pPr>
        <w:wordWrap w:val="0"/>
        <w:spacing w:line="500" w:lineRule="exact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       </w:t>
      </w:r>
    </w:p>
    <w:p>
      <w:pPr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二○一八年一月十八日</w:t>
      </w:r>
    </w:p>
    <w:p>
      <w:pPr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wordWrap w:val="0"/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书  记  员    时  光</w:t>
      </w:r>
    </w:p>
    <w:p>
      <w:pPr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速  录  员    杨梦萱</w:t>
      </w:r>
    </w:p>
    <w:p>
      <w:pPr>
        <w:spacing w:line="500" w:lineRule="exact"/>
        <w:ind w:right="18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right="18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" w:hAnsi="仿宋" w:eastAsia="仿宋"/>
          <w:kern w:val="0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附：本判决引用的法律条文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第六十七条   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第七十二条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宣告缓刑，可以根据犯罪情况，同时禁止犯罪分子在缓刑考验期限内从事特定活动，进入特定区域、场所，接触特定的人。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第七十三条   拘役的缓刑考验期限为原判刑期以上，一年以下，但是不能少于二个月。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缓刑考验期限，从判决确定之日起计算。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 xml:space="preserve">第一百九十六条  </w:t>
      </w:r>
      <w:r>
        <w:rPr>
          <w:rFonts w:ascii="仿宋" w:hAnsi="仿宋" w:eastAsia="仿宋"/>
          <w:color w:val="000000"/>
          <w:sz w:val="32"/>
          <w:szCs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（一）使用伪造的信用卡，或者使用以虚假的身份证明骗领的信用卡的；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（二）使用作废的信用卡的；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（三）冒用他人信用卡的；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（四）恶意透支的。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盗窃信用卡并使用的，依照本法第二百六十四条的规定定罪处罚。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rPr>
          <w:rFonts w:hint="eastAsia" w:ascii="仿宋_GB2312" w:eastAsia="仿宋_GB2312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3E65"/>
    <w:rsid w:val="0000722F"/>
    <w:rsid w:val="00010B97"/>
    <w:rsid w:val="00025F9E"/>
    <w:rsid w:val="000532A1"/>
    <w:rsid w:val="000559F9"/>
    <w:rsid w:val="000618E7"/>
    <w:rsid w:val="00061BCB"/>
    <w:rsid w:val="00065245"/>
    <w:rsid w:val="00082DFE"/>
    <w:rsid w:val="000837D9"/>
    <w:rsid w:val="00087B10"/>
    <w:rsid w:val="000B204C"/>
    <w:rsid w:val="000C79D8"/>
    <w:rsid w:val="000D4D5E"/>
    <w:rsid w:val="0013327E"/>
    <w:rsid w:val="0014297E"/>
    <w:rsid w:val="0017429C"/>
    <w:rsid w:val="001908D2"/>
    <w:rsid w:val="001B3522"/>
    <w:rsid w:val="001B4104"/>
    <w:rsid w:val="001C162B"/>
    <w:rsid w:val="001C421A"/>
    <w:rsid w:val="001D04E1"/>
    <w:rsid w:val="001D45DB"/>
    <w:rsid w:val="001E0D10"/>
    <w:rsid w:val="001F50B5"/>
    <w:rsid w:val="00226A65"/>
    <w:rsid w:val="00227178"/>
    <w:rsid w:val="00227A0F"/>
    <w:rsid w:val="002309AC"/>
    <w:rsid w:val="00235377"/>
    <w:rsid w:val="0025441A"/>
    <w:rsid w:val="00282A75"/>
    <w:rsid w:val="00286A47"/>
    <w:rsid w:val="002A57D4"/>
    <w:rsid w:val="002B4D33"/>
    <w:rsid w:val="002E04B9"/>
    <w:rsid w:val="002E6A68"/>
    <w:rsid w:val="002E7E3A"/>
    <w:rsid w:val="00301AF1"/>
    <w:rsid w:val="00312002"/>
    <w:rsid w:val="00317BF7"/>
    <w:rsid w:val="003272D1"/>
    <w:rsid w:val="003377A0"/>
    <w:rsid w:val="0037559D"/>
    <w:rsid w:val="00376790"/>
    <w:rsid w:val="00381EEC"/>
    <w:rsid w:val="003848A0"/>
    <w:rsid w:val="003865F5"/>
    <w:rsid w:val="00395716"/>
    <w:rsid w:val="003B3E65"/>
    <w:rsid w:val="003C1821"/>
    <w:rsid w:val="003D5A5F"/>
    <w:rsid w:val="003F0C6A"/>
    <w:rsid w:val="00405338"/>
    <w:rsid w:val="00411FC2"/>
    <w:rsid w:val="004217DA"/>
    <w:rsid w:val="00433E21"/>
    <w:rsid w:val="0044109E"/>
    <w:rsid w:val="00443E8E"/>
    <w:rsid w:val="004702E7"/>
    <w:rsid w:val="00471FB1"/>
    <w:rsid w:val="00480653"/>
    <w:rsid w:val="004934B4"/>
    <w:rsid w:val="00497CE3"/>
    <w:rsid w:val="004A659E"/>
    <w:rsid w:val="004C5AEA"/>
    <w:rsid w:val="004C77C7"/>
    <w:rsid w:val="004E0496"/>
    <w:rsid w:val="004F1428"/>
    <w:rsid w:val="0050063A"/>
    <w:rsid w:val="00524AB7"/>
    <w:rsid w:val="0054147C"/>
    <w:rsid w:val="0054326D"/>
    <w:rsid w:val="0056081B"/>
    <w:rsid w:val="005712C0"/>
    <w:rsid w:val="00582840"/>
    <w:rsid w:val="00583BB2"/>
    <w:rsid w:val="005A1732"/>
    <w:rsid w:val="005A3AC5"/>
    <w:rsid w:val="005B39D2"/>
    <w:rsid w:val="005B56B0"/>
    <w:rsid w:val="005C2E60"/>
    <w:rsid w:val="005E7E91"/>
    <w:rsid w:val="005F0667"/>
    <w:rsid w:val="005F0853"/>
    <w:rsid w:val="005F5497"/>
    <w:rsid w:val="00606CBA"/>
    <w:rsid w:val="00615986"/>
    <w:rsid w:val="00616460"/>
    <w:rsid w:val="0064427F"/>
    <w:rsid w:val="00645660"/>
    <w:rsid w:val="00654B55"/>
    <w:rsid w:val="00665C1E"/>
    <w:rsid w:val="00680F52"/>
    <w:rsid w:val="00681248"/>
    <w:rsid w:val="006B0A7B"/>
    <w:rsid w:val="006B7847"/>
    <w:rsid w:val="006F0495"/>
    <w:rsid w:val="006F18BD"/>
    <w:rsid w:val="006F72CD"/>
    <w:rsid w:val="00705245"/>
    <w:rsid w:val="00706F76"/>
    <w:rsid w:val="00713069"/>
    <w:rsid w:val="0071542B"/>
    <w:rsid w:val="00715FD3"/>
    <w:rsid w:val="007170F0"/>
    <w:rsid w:val="00732BD6"/>
    <w:rsid w:val="00733126"/>
    <w:rsid w:val="00766991"/>
    <w:rsid w:val="00770551"/>
    <w:rsid w:val="00781985"/>
    <w:rsid w:val="00796A96"/>
    <w:rsid w:val="007A109D"/>
    <w:rsid w:val="007A139C"/>
    <w:rsid w:val="007A60B4"/>
    <w:rsid w:val="007C5E61"/>
    <w:rsid w:val="007D24B0"/>
    <w:rsid w:val="007E1ECF"/>
    <w:rsid w:val="007E2FA5"/>
    <w:rsid w:val="007F1385"/>
    <w:rsid w:val="007F2583"/>
    <w:rsid w:val="007F3053"/>
    <w:rsid w:val="00802DE3"/>
    <w:rsid w:val="0080745D"/>
    <w:rsid w:val="00817CF3"/>
    <w:rsid w:val="00820F0B"/>
    <w:rsid w:val="00820F99"/>
    <w:rsid w:val="008236CD"/>
    <w:rsid w:val="008406DA"/>
    <w:rsid w:val="00870677"/>
    <w:rsid w:val="00874D8D"/>
    <w:rsid w:val="00885227"/>
    <w:rsid w:val="00890C79"/>
    <w:rsid w:val="008B040E"/>
    <w:rsid w:val="008C7BAD"/>
    <w:rsid w:val="008D088F"/>
    <w:rsid w:val="008E15C1"/>
    <w:rsid w:val="008E62FB"/>
    <w:rsid w:val="008F1A53"/>
    <w:rsid w:val="00901179"/>
    <w:rsid w:val="00903033"/>
    <w:rsid w:val="00914FE8"/>
    <w:rsid w:val="00921598"/>
    <w:rsid w:val="00923BA0"/>
    <w:rsid w:val="00934DA6"/>
    <w:rsid w:val="00953FA2"/>
    <w:rsid w:val="009543BC"/>
    <w:rsid w:val="00980539"/>
    <w:rsid w:val="009840B6"/>
    <w:rsid w:val="00987556"/>
    <w:rsid w:val="00987B65"/>
    <w:rsid w:val="00991B74"/>
    <w:rsid w:val="009A10B6"/>
    <w:rsid w:val="009B5CC3"/>
    <w:rsid w:val="009F1241"/>
    <w:rsid w:val="009F290C"/>
    <w:rsid w:val="00A153B1"/>
    <w:rsid w:val="00A25CE1"/>
    <w:rsid w:val="00A31633"/>
    <w:rsid w:val="00A32125"/>
    <w:rsid w:val="00A324AC"/>
    <w:rsid w:val="00A50034"/>
    <w:rsid w:val="00A669F7"/>
    <w:rsid w:val="00A8704E"/>
    <w:rsid w:val="00A908F8"/>
    <w:rsid w:val="00AA16E8"/>
    <w:rsid w:val="00AA7381"/>
    <w:rsid w:val="00AB6690"/>
    <w:rsid w:val="00AD5803"/>
    <w:rsid w:val="00AE5AA4"/>
    <w:rsid w:val="00AF1AD8"/>
    <w:rsid w:val="00B045C2"/>
    <w:rsid w:val="00B05D42"/>
    <w:rsid w:val="00B2413A"/>
    <w:rsid w:val="00B4199E"/>
    <w:rsid w:val="00B5198C"/>
    <w:rsid w:val="00B634C0"/>
    <w:rsid w:val="00B73C2E"/>
    <w:rsid w:val="00BB2D91"/>
    <w:rsid w:val="00BB56B3"/>
    <w:rsid w:val="00BD3A1F"/>
    <w:rsid w:val="00BD6A1C"/>
    <w:rsid w:val="00C11441"/>
    <w:rsid w:val="00C154FF"/>
    <w:rsid w:val="00C33F3A"/>
    <w:rsid w:val="00C352E6"/>
    <w:rsid w:val="00C52F65"/>
    <w:rsid w:val="00C55C6A"/>
    <w:rsid w:val="00C61B0C"/>
    <w:rsid w:val="00C70497"/>
    <w:rsid w:val="00C72802"/>
    <w:rsid w:val="00C729C4"/>
    <w:rsid w:val="00CB0229"/>
    <w:rsid w:val="00CB0328"/>
    <w:rsid w:val="00CB3AAA"/>
    <w:rsid w:val="00CC064F"/>
    <w:rsid w:val="00CD7C59"/>
    <w:rsid w:val="00CF609C"/>
    <w:rsid w:val="00D27F6F"/>
    <w:rsid w:val="00D477CB"/>
    <w:rsid w:val="00D5191E"/>
    <w:rsid w:val="00D70A92"/>
    <w:rsid w:val="00D75009"/>
    <w:rsid w:val="00D84378"/>
    <w:rsid w:val="00D873F5"/>
    <w:rsid w:val="00DB4D0F"/>
    <w:rsid w:val="00DC28CF"/>
    <w:rsid w:val="00DD7E92"/>
    <w:rsid w:val="00E21986"/>
    <w:rsid w:val="00E232B4"/>
    <w:rsid w:val="00E309B6"/>
    <w:rsid w:val="00E31B2D"/>
    <w:rsid w:val="00E32BFA"/>
    <w:rsid w:val="00E42C0C"/>
    <w:rsid w:val="00E451AE"/>
    <w:rsid w:val="00E50805"/>
    <w:rsid w:val="00EA35A9"/>
    <w:rsid w:val="00EC09C8"/>
    <w:rsid w:val="00ED551B"/>
    <w:rsid w:val="00ED5C5A"/>
    <w:rsid w:val="00EE3455"/>
    <w:rsid w:val="00EF0BF1"/>
    <w:rsid w:val="00EF63F3"/>
    <w:rsid w:val="00F16E0C"/>
    <w:rsid w:val="00F23EE2"/>
    <w:rsid w:val="00F27DBF"/>
    <w:rsid w:val="00F30C64"/>
    <w:rsid w:val="00F42591"/>
    <w:rsid w:val="00F4535B"/>
    <w:rsid w:val="00F51DAF"/>
    <w:rsid w:val="00F641B3"/>
    <w:rsid w:val="00F75D13"/>
    <w:rsid w:val="00F77461"/>
    <w:rsid w:val="00F84E49"/>
    <w:rsid w:val="00F912FE"/>
    <w:rsid w:val="00F969C2"/>
    <w:rsid w:val="00FC5966"/>
    <w:rsid w:val="00FD2F3A"/>
    <w:rsid w:val="00FE1B71"/>
    <w:rsid w:val="00FE3DE4"/>
    <w:rsid w:val="00FE719B"/>
    <w:rsid w:val="00FF0869"/>
    <w:rsid w:val="0D75134C"/>
    <w:rsid w:val="2679467E"/>
    <w:rsid w:val="63126CB3"/>
    <w:rsid w:val="691B2760"/>
    <w:rsid w:val="6AE70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nhideWhenUsed/>
    <w:qFormat/>
    <w:uiPriority w:val="99"/>
    <w:rPr>
      <w:rFonts w:ascii="宋体" w:hAnsi="Courier New" w:cs="Courier New"/>
      <w:szCs w:val="21"/>
    </w:rPr>
  </w:style>
  <w:style w:type="paragraph" w:styleId="3">
    <w:name w:val="Date"/>
    <w:basedOn w:val="1"/>
    <w:next w:val="1"/>
    <w:link w:val="11"/>
    <w:qFormat/>
    <w:uiPriority w:val="0"/>
    <w:pPr>
      <w:ind w:left="100" w:leftChars="250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9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日期 Char"/>
    <w:basedOn w:val="6"/>
    <w:link w:val="3"/>
    <w:qFormat/>
    <w:uiPriority w:val="0"/>
    <w:rPr>
      <w:kern w:val="2"/>
      <w:sz w:val="21"/>
      <w:szCs w:val="24"/>
    </w:rPr>
  </w:style>
  <w:style w:type="character" w:customStyle="1" w:styleId="12">
    <w:name w:val="纯文本 Char"/>
    <w:basedOn w:val="6"/>
    <w:link w:val="2"/>
    <w:qFormat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5</Pages>
  <Words>362</Words>
  <Characters>2069</Characters>
  <Lines>17</Lines>
  <Paragraphs>4</Paragraphs>
  <TotalTime>0</TotalTime>
  <ScaleCrop>false</ScaleCrop>
  <LinksUpToDate>false</LinksUpToDate>
  <CharactersWithSpaces>2427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2018-01-12T10:36:00Z</dcterms:created>
  <dc:creator>MC SYSTEM</dc:creator>
  <cp:lastModifiedBy>TF-PC</cp:lastModifiedBy>
  <dcterms:modified xsi:type="dcterms:W3CDTF">2018-08-27T09:42:41Z</dcterms:modified>
  <dc:title>天津市河西区人民法院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