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firstLine="2200" w:firstLineChars="50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44"/>
          <w:szCs w:val="44"/>
        </w:rPr>
        <w:t xml:space="preserve">天津市东丽区人民法院     </w:t>
      </w:r>
    </w:p>
    <w:p>
      <w:pPr>
        <w:spacing w:line="800" w:lineRule="exact"/>
        <w:jc w:val="center"/>
        <w:rPr>
          <w:rFonts w:hint="eastAsia"/>
          <w:spacing w:val="50"/>
          <w:sz w:val="52"/>
          <w:szCs w:val="52"/>
        </w:rPr>
      </w:pPr>
      <w:r>
        <w:rPr>
          <w:rFonts w:hint="eastAsia"/>
          <w:spacing w:val="50"/>
          <w:sz w:val="52"/>
          <w:szCs w:val="52"/>
        </w:rPr>
        <w:t>刑 事 判 决 书</w:t>
      </w:r>
    </w:p>
    <w:p>
      <w:pPr>
        <w:spacing w:line="800" w:lineRule="exact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                  （</w:t>
      </w:r>
      <w:r>
        <w:rPr>
          <w:rFonts w:hint="eastAsia" w:ascii="仿宋_GB2312" w:eastAsia="仿宋_GB2312"/>
          <w:sz w:val="32"/>
          <w:szCs w:val="32"/>
        </w:rPr>
        <w:t>2015）丽刑初字第720号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公诉机关天津市东丽区人民检察院。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周雪松（身份证号码120110196602141250），男，1966年2月14日出生于天津市，汉族，初中文化，无职业，户籍地天津市东丽区军粮城街军粮城排灌处宿舍三排24号，现住天津市东丽区张贵庄街詹滨西里7-1-102号。因涉嫌犯信用卡诈骗罪于2015年6月21日被刑事拘留，同年6月24日被取保候审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东丽区人民检察院以津丽检公诉刑诉（2015）663号起诉书指控被告人周雪松犯信用卡诈骗罪，于2015年8月14日向本院提起公诉。本院依法适用简易程序，实行独任审判，公开开庭审理了本案。天津市东丽区人民检察院指派代理检察员李颖出庭支持公诉，被告人周雪松到庭参加了诉讼。现已审理终结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指控，2011年6月29日，被告人周雪松在招商银行申领了一张卡号为51871000140559739的信用卡。2014年10月12日最后一次还款后，共透支本金42380.39元，经银行多次催收，未能还款。2015年6月21日被抓获归案。后被告人退缴了全部款项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周雪松在开庭审理过程中亦无异议，并有银行工作人员徐明的陈述、证人周洪儒的证言、申领信用卡的手续、信用卡交易明细、银行催收记录、扣押及发还物品的清单、案件来源及抓获经过的说明、被告人户籍证明、情况说明等证据证实，足以认定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周雪松以非法占有为目的，超过规定期限透支信用卡，经发卡银行两次催收后超过三个月仍不归还，属于恶意透支，数额较大，其行为构成信用卡诈骗罪，依法应予以处罚，公诉机关指控意见正确，本院予以采纳。被告人周雪松归案后能如实供述犯罪事实，认罪态度较好，依法可从轻处罚。鉴于被告人系初犯，并退缴了全部款项，具有较好的悔罪表现，对被告人酌情从轻处罚并可适用缓刑。综上，本院依照《中华人民共和国刑法》第一百九十六条第一款第（四）项、第六十七条第三款、第七十二条、第七十三条、第七十六条之规定，判决如下：</w:t>
      </w:r>
    </w:p>
    <w:p>
      <w:pPr>
        <w:spacing w:line="500" w:lineRule="exact"/>
        <w:ind w:left="567" w:leftChars="270" w:firstLine="160" w:firstLineChars="5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被告人周雪松犯信用卡诈骗罪，判处有期徒刑一年，缓刑</w:t>
      </w:r>
    </w:p>
    <w:p>
      <w:pPr>
        <w:spacing w:line="500" w:lineRule="exac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一年，并处罚金人民币二万元。被告人在缓刑考验期内依法实行社区矫正。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（缓刑考验期自本判决确定之日起计算）</w:t>
      </w:r>
    </w:p>
    <w:p>
      <w:pPr>
        <w:spacing w:line="500" w:lineRule="exact"/>
        <w:ind w:left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罚金自本判决生效后十日内交付本院。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如不服本判决，可在接到判决书的第二日起十日内，通过本院或直接向天津市第二中级人民法院提出上诉，书面上诉的，应交上诉状正本一份，副本二份。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孙宝芳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4640" w:firstLineChars="145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hint="eastAsia" w:ascii="仿宋_GB2312" w:hAnsi="仿宋_GB2312" w:eastAsia="仿宋_GB2312" w:cs="仿宋_GB2312"/>
          <w:sz w:val="32"/>
          <w:szCs w:val="32"/>
        </w:rPr>
        <w:t>一五年八月二十六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  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书  记  员   李  陆</w:t>
      </w:r>
    </w:p>
    <w:p>
      <w:pPr>
        <w:spacing w:line="500" w:lineRule="exact"/>
        <w:ind w:firstLine="4960" w:firstLineChars="155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速  录  员   黄维玲</w:t>
      </w:r>
    </w:p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本判决所依据的相关法律、法规</w:t>
      </w:r>
    </w:p>
    <w:p>
      <w:pPr>
        <w:rPr>
          <w:rFonts w:hint="eastAsia" w:ascii="仿宋_GB2312" w:hAnsi="宋体" w:eastAsia="仿宋_GB2312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一、</w:t>
      </w:r>
      <w:r>
        <w:rPr>
          <w:rFonts w:hint="eastAsia" w:ascii="仿宋_GB2312" w:eastAsia="仿宋_GB2312"/>
          <w:sz w:val="32"/>
          <w:szCs w:val="32"/>
        </w:rPr>
        <w:t>《中华人民共和国刑法》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numPr>
          <w:ilvl w:val="0"/>
          <w:numId w:val="1"/>
        </w:num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使用伪造的信用卡，或者使用以虚假的身份证明骗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领的信用卡的；</w:t>
      </w:r>
    </w:p>
    <w:p>
      <w:pPr>
        <w:numPr>
          <w:ilvl w:val="0"/>
          <w:numId w:val="1"/>
        </w:num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使用作废的信用卡的；</w:t>
      </w:r>
    </w:p>
    <w:p>
      <w:pPr>
        <w:numPr>
          <w:ilvl w:val="0"/>
          <w:numId w:val="1"/>
        </w:num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冒用他人信用卡的；</w:t>
      </w:r>
    </w:p>
    <w:p>
      <w:pPr>
        <w:numPr>
          <w:ilvl w:val="0"/>
          <w:numId w:val="1"/>
        </w:num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恶意透支的。</w:t>
      </w:r>
    </w:p>
    <w:p>
      <w:pPr>
        <w:spacing w:line="500" w:lineRule="exact"/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前款所称恶意透支，是指持卡人以非法占有为目的，超过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规定限额或者规定期限透支，并且经发卡银行催收后仍不归还的行为。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盗窃信用卡并使用的，依照本法第二百六十四条的规定定罪处罚。</w:t>
      </w:r>
    </w:p>
    <w:p>
      <w:pPr>
        <w:spacing w:line="500" w:lineRule="exact"/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二、《中华人民共和国刑法》第六十七条 ：犯罪以后自动投案，如实供述自己的罪行的，是自首。对于自首的犯罪分子，可以从轻或者减轻处罚。其中，犯罪较轻的，可以免除处罚。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三、《中华人民共和国刑法》第七十二条：对于被判处拘役、三年以下有期徒刑的犯罪分子，同时符合下列条件的，可以宣告缓刑，对其中不满十八周岁人、怀孕的妇女和已满七十五周岁的人，应当宣告缓刑：</w:t>
      </w:r>
    </w:p>
    <w:p>
      <w:pPr>
        <w:numPr>
          <w:ilvl w:val="0"/>
          <w:numId w:val="2"/>
        </w:numPr>
        <w:spacing w:line="500" w:lineRule="exact"/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犯罪情节较轻；</w:t>
      </w:r>
    </w:p>
    <w:p>
      <w:pPr>
        <w:numPr>
          <w:ilvl w:val="0"/>
          <w:numId w:val="2"/>
        </w:numPr>
        <w:spacing w:line="500" w:lineRule="exact"/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有悔罪表现；</w:t>
      </w:r>
    </w:p>
    <w:p>
      <w:pPr>
        <w:numPr>
          <w:ilvl w:val="0"/>
          <w:numId w:val="2"/>
        </w:numPr>
        <w:spacing w:line="500" w:lineRule="exact"/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没有再犯罪的危险；</w:t>
      </w:r>
    </w:p>
    <w:p>
      <w:pPr>
        <w:numPr>
          <w:ilvl w:val="0"/>
          <w:numId w:val="2"/>
        </w:numPr>
        <w:spacing w:line="500" w:lineRule="exact"/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宣告缓刑对所居住社区没有重大不良影响。</w:t>
      </w:r>
    </w:p>
    <w:p>
      <w:pPr>
        <w:spacing w:line="500" w:lineRule="exact"/>
        <w:ind w:left="628"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宣告缓刑，可以根据犯罪情况，同时禁止犯罪分子在缓</w:t>
      </w:r>
    </w:p>
    <w:p>
      <w:pPr>
        <w:spacing w:line="500" w:lineRule="exact"/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刑考验期内从事特定活动，进入特定区域、场所，接触特定的人。</w:t>
      </w:r>
    </w:p>
    <w:p>
      <w:pPr>
        <w:tabs>
          <w:tab w:val="left" w:pos="8478"/>
        </w:tabs>
        <w:spacing w:line="500" w:lineRule="exact"/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被宣告缓刑的犯罪分子，如果被判处附加刑，附加刑仍须执行。</w:t>
      </w:r>
    </w:p>
    <w:p>
      <w:pPr>
        <w:spacing w:line="500" w:lineRule="exact"/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四、《中华人民共和国刑法》第七十三条：拘役的缓刑考验期为原判刑期以上一年以下，但是不能少于二个月。</w:t>
      </w:r>
    </w:p>
    <w:p>
      <w:pPr>
        <w:spacing w:line="500" w:lineRule="exact"/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有期徒刑的缓刑考验期限为原判刑期以上五年以下，但是不能少于一年。</w:t>
      </w:r>
    </w:p>
    <w:p>
      <w:pPr>
        <w:spacing w:line="500" w:lineRule="exact"/>
        <w:ind w:right="628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缓刑考验期限，从判决确定之日起计算。</w:t>
      </w:r>
    </w:p>
    <w:p>
      <w:pPr>
        <w:spacing w:line="500" w:lineRule="exact"/>
        <w:ind w:right="628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五、《中华人民共和国刑法》第七十六条：对宣告缓刑的犯罪分子，在缓刑考验期限内，依法实行社区矫正，如果没有本法第七十七条规定的情形，缓刑考验期满，原判的刑罚就不再执行，并公开予以宣告。</w:t>
      </w:r>
      <w:r>
        <w:rPr>
          <w:rFonts w:hint="eastAsia" w:ascii="仿宋_GB2312" w:eastAsia="仿宋_GB2312"/>
          <w:b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 xml:space="preserve"> </w:t>
      </w:r>
    </w:p>
    <w:p>
      <w:pPr>
        <w:spacing w:line="500" w:lineRule="exact"/>
        <w:ind w:right="-4"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5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701" w:left="1701" w:header="0" w:footer="1361" w:gutter="0"/>
      <w:cols w:space="425" w:num="1"/>
      <w:docGrid w:linePitch="516" w:charSpace="262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778F"/>
    <w:multiLevelType w:val="multilevel"/>
    <w:tmpl w:val="1F2F778F"/>
    <w:lvl w:ilvl="0" w:tentative="0">
      <w:start w:val="1"/>
      <w:numFmt w:val="japaneseCounting"/>
      <w:lvlText w:val="（%1）"/>
      <w:lvlJc w:val="left"/>
      <w:pPr>
        <w:tabs>
          <w:tab w:val="left" w:pos="1708"/>
        </w:tabs>
        <w:ind w:left="1708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68"/>
        </w:tabs>
        <w:ind w:left="146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88"/>
        </w:tabs>
        <w:ind w:left="188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08"/>
        </w:tabs>
        <w:ind w:left="230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28"/>
        </w:tabs>
        <w:ind w:left="272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48"/>
        </w:tabs>
        <w:ind w:left="314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68"/>
        </w:tabs>
        <w:ind w:left="356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88"/>
        </w:tabs>
        <w:ind w:left="398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08"/>
        </w:tabs>
        <w:ind w:left="4408" w:hanging="420"/>
      </w:pPr>
    </w:lvl>
  </w:abstractNum>
  <w:abstractNum w:abstractNumId="1">
    <w:nsid w:val="424D4D75"/>
    <w:multiLevelType w:val="multilevel"/>
    <w:tmpl w:val="424D4D75"/>
    <w:lvl w:ilvl="0" w:tentative="0">
      <w:start w:val="1"/>
      <w:numFmt w:val="japaneseCounting"/>
      <w:lvlText w:val="（%1）"/>
      <w:lvlJc w:val="left"/>
      <w:pPr>
        <w:tabs>
          <w:tab w:val="left" w:pos="1708"/>
        </w:tabs>
        <w:ind w:left="1708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68"/>
        </w:tabs>
        <w:ind w:left="146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88"/>
        </w:tabs>
        <w:ind w:left="188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08"/>
        </w:tabs>
        <w:ind w:left="230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28"/>
        </w:tabs>
        <w:ind w:left="272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48"/>
        </w:tabs>
        <w:ind w:left="314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68"/>
        </w:tabs>
        <w:ind w:left="356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88"/>
        </w:tabs>
        <w:ind w:left="398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08"/>
        </w:tabs>
        <w:ind w:left="440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69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FD4"/>
    <w:rsid w:val="000070AA"/>
    <w:rsid w:val="00012F44"/>
    <w:rsid w:val="00017366"/>
    <w:rsid w:val="00034E09"/>
    <w:rsid w:val="00037E8B"/>
    <w:rsid w:val="000420BB"/>
    <w:rsid w:val="0006157D"/>
    <w:rsid w:val="00063686"/>
    <w:rsid w:val="0007763A"/>
    <w:rsid w:val="00080429"/>
    <w:rsid w:val="00080E33"/>
    <w:rsid w:val="000A44DC"/>
    <w:rsid w:val="000B3B07"/>
    <w:rsid w:val="000D3540"/>
    <w:rsid w:val="000D51E9"/>
    <w:rsid w:val="000F1E18"/>
    <w:rsid w:val="00107F52"/>
    <w:rsid w:val="0012293C"/>
    <w:rsid w:val="00133735"/>
    <w:rsid w:val="00165888"/>
    <w:rsid w:val="00165FCD"/>
    <w:rsid w:val="001722D9"/>
    <w:rsid w:val="0019132F"/>
    <w:rsid w:val="0019228E"/>
    <w:rsid w:val="001E2E5E"/>
    <w:rsid w:val="002202BE"/>
    <w:rsid w:val="0022233E"/>
    <w:rsid w:val="002234EE"/>
    <w:rsid w:val="00246689"/>
    <w:rsid w:val="002508C1"/>
    <w:rsid w:val="00285095"/>
    <w:rsid w:val="002A2A7F"/>
    <w:rsid w:val="002A7CFE"/>
    <w:rsid w:val="002B25D0"/>
    <w:rsid w:val="002D27BD"/>
    <w:rsid w:val="003008BA"/>
    <w:rsid w:val="00312C1E"/>
    <w:rsid w:val="00314201"/>
    <w:rsid w:val="0035221B"/>
    <w:rsid w:val="00354B5C"/>
    <w:rsid w:val="00355224"/>
    <w:rsid w:val="00372699"/>
    <w:rsid w:val="0038151B"/>
    <w:rsid w:val="003A08E8"/>
    <w:rsid w:val="003C107B"/>
    <w:rsid w:val="003C3FD4"/>
    <w:rsid w:val="003E175F"/>
    <w:rsid w:val="003E1915"/>
    <w:rsid w:val="00420CFC"/>
    <w:rsid w:val="00426450"/>
    <w:rsid w:val="004337D0"/>
    <w:rsid w:val="00457414"/>
    <w:rsid w:val="0047495F"/>
    <w:rsid w:val="00494AFD"/>
    <w:rsid w:val="00496F24"/>
    <w:rsid w:val="004B598E"/>
    <w:rsid w:val="004B7E35"/>
    <w:rsid w:val="004D7EC4"/>
    <w:rsid w:val="004E65EE"/>
    <w:rsid w:val="005146E9"/>
    <w:rsid w:val="0054343B"/>
    <w:rsid w:val="00571A19"/>
    <w:rsid w:val="00575AF5"/>
    <w:rsid w:val="005B58B8"/>
    <w:rsid w:val="005C1C66"/>
    <w:rsid w:val="005C5295"/>
    <w:rsid w:val="005C58A8"/>
    <w:rsid w:val="005D173B"/>
    <w:rsid w:val="005F3DF3"/>
    <w:rsid w:val="005F7FD1"/>
    <w:rsid w:val="00606F24"/>
    <w:rsid w:val="006159E4"/>
    <w:rsid w:val="00637A70"/>
    <w:rsid w:val="00640143"/>
    <w:rsid w:val="006406FD"/>
    <w:rsid w:val="0065131A"/>
    <w:rsid w:val="00654D6F"/>
    <w:rsid w:val="00671418"/>
    <w:rsid w:val="007237AA"/>
    <w:rsid w:val="00740740"/>
    <w:rsid w:val="00754BC5"/>
    <w:rsid w:val="00756A3B"/>
    <w:rsid w:val="00780D67"/>
    <w:rsid w:val="007871F6"/>
    <w:rsid w:val="007B3CC4"/>
    <w:rsid w:val="0081120E"/>
    <w:rsid w:val="00825E71"/>
    <w:rsid w:val="00833178"/>
    <w:rsid w:val="00840EE9"/>
    <w:rsid w:val="008553DB"/>
    <w:rsid w:val="00873A02"/>
    <w:rsid w:val="008D68FE"/>
    <w:rsid w:val="009029D9"/>
    <w:rsid w:val="00920442"/>
    <w:rsid w:val="00922851"/>
    <w:rsid w:val="00923EB5"/>
    <w:rsid w:val="009330F4"/>
    <w:rsid w:val="00933C35"/>
    <w:rsid w:val="00941027"/>
    <w:rsid w:val="00950D74"/>
    <w:rsid w:val="009973B3"/>
    <w:rsid w:val="009A12E5"/>
    <w:rsid w:val="009C584C"/>
    <w:rsid w:val="009D7570"/>
    <w:rsid w:val="009E5B1D"/>
    <w:rsid w:val="00A02AB7"/>
    <w:rsid w:val="00A16ED1"/>
    <w:rsid w:val="00A211CA"/>
    <w:rsid w:val="00A2222A"/>
    <w:rsid w:val="00A41D4D"/>
    <w:rsid w:val="00A427B0"/>
    <w:rsid w:val="00A51132"/>
    <w:rsid w:val="00A5263B"/>
    <w:rsid w:val="00A61573"/>
    <w:rsid w:val="00A7314A"/>
    <w:rsid w:val="00A802F5"/>
    <w:rsid w:val="00A80850"/>
    <w:rsid w:val="00A83AFD"/>
    <w:rsid w:val="00AA551E"/>
    <w:rsid w:val="00AA6CFB"/>
    <w:rsid w:val="00AB327E"/>
    <w:rsid w:val="00AD39D8"/>
    <w:rsid w:val="00B074CD"/>
    <w:rsid w:val="00B42C99"/>
    <w:rsid w:val="00B432D0"/>
    <w:rsid w:val="00B9252C"/>
    <w:rsid w:val="00BA2B6F"/>
    <w:rsid w:val="00C110B5"/>
    <w:rsid w:val="00C33BA3"/>
    <w:rsid w:val="00C84795"/>
    <w:rsid w:val="00CC5C22"/>
    <w:rsid w:val="00CD6F46"/>
    <w:rsid w:val="00CE7032"/>
    <w:rsid w:val="00D378DB"/>
    <w:rsid w:val="00D45CA0"/>
    <w:rsid w:val="00D46A0F"/>
    <w:rsid w:val="00D5622E"/>
    <w:rsid w:val="00D75878"/>
    <w:rsid w:val="00D806EA"/>
    <w:rsid w:val="00D91589"/>
    <w:rsid w:val="00DC3D82"/>
    <w:rsid w:val="00DE30AD"/>
    <w:rsid w:val="00DE42F4"/>
    <w:rsid w:val="00E00AFF"/>
    <w:rsid w:val="00E023F4"/>
    <w:rsid w:val="00E13356"/>
    <w:rsid w:val="00E247F6"/>
    <w:rsid w:val="00E34897"/>
    <w:rsid w:val="00E402EF"/>
    <w:rsid w:val="00E459F6"/>
    <w:rsid w:val="00E648AB"/>
    <w:rsid w:val="00E71C77"/>
    <w:rsid w:val="00E850AC"/>
    <w:rsid w:val="00EC7507"/>
    <w:rsid w:val="00ED4BCF"/>
    <w:rsid w:val="00ED6442"/>
    <w:rsid w:val="00EE34F7"/>
    <w:rsid w:val="00F206BC"/>
    <w:rsid w:val="00F3036F"/>
    <w:rsid w:val="00F64782"/>
    <w:rsid w:val="00F774D5"/>
    <w:rsid w:val="00F84DD5"/>
    <w:rsid w:val="00F86319"/>
    <w:rsid w:val="00F935D1"/>
    <w:rsid w:val="00FA24F9"/>
    <w:rsid w:val="00FA44C1"/>
    <w:rsid w:val="00FC2990"/>
    <w:rsid w:val="1BE11F3A"/>
    <w:rsid w:val="347E41F9"/>
    <w:rsid w:val="3690046A"/>
    <w:rsid w:val="4AFE02B5"/>
    <w:rsid w:val="690F69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328</Words>
  <Characters>1870</Characters>
  <Lines>15</Lines>
  <Paragraphs>4</Paragraphs>
  <TotalTime>0</TotalTime>
  <ScaleCrop>false</ScaleCrop>
  <LinksUpToDate>false</LinksUpToDate>
  <CharactersWithSpaces>2194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2015-08-21T09:16:00Z</dcterms:created>
  <dc:creator>qq</dc:creator>
  <cp:lastModifiedBy>TF-PC</cp:lastModifiedBy>
  <dcterms:modified xsi:type="dcterms:W3CDTF">2018-08-27T09:39:34Z</dcterms:modified>
  <dc:title>天津市东丽区人民法院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