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rPr>
          <w:rFonts w:hint="eastAsia"/>
          <w:color w:val="auto"/>
          <w:sz w:val="32"/>
          <w:highlight w:val="none"/>
          <w:lang w:val="en-US" w:eastAsia="zh-CN"/>
        </w:rPr>
      </w:pPr>
      <w:bookmarkStart w:id="1" w:name="_GoBack"/>
      <w:bookmarkEnd w:id="1"/>
    </w:p>
    <w:p>
      <w:pPr>
        <w:pStyle w:val="31"/>
        <w:rPr>
          <w:rFonts w:hint="eastAsia"/>
          <w:color w:val="auto"/>
          <w:sz w:val="32"/>
          <w:highlight w:val="none"/>
          <w:lang w:val="en-US" w:eastAsia="zh-CN"/>
        </w:rPr>
      </w:pPr>
    </w:p>
    <w:p>
      <w:pPr>
        <w:pStyle w:val="31"/>
        <w:rPr>
          <w:rFonts w:hint="eastAsia" w:ascii="方正小标宋简体" w:hAnsi="方正小标宋简体" w:eastAsia="方正小标宋简体" w:cs="方正小标宋简体"/>
          <w:color w:val="auto"/>
          <w:highlight w:val="none"/>
          <w:lang w:val="en-US" w:eastAsia="zh-CN"/>
        </w:rPr>
      </w:pPr>
      <w:r>
        <w:rPr>
          <w:rFonts w:hint="eastAsia" w:ascii="方正小标宋简体" w:hAnsi="方正小标宋简体" w:eastAsia="方正小标宋简体" w:cs="方正小标宋简体"/>
          <w:color w:val="auto"/>
          <w:highlight w:val="none"/>
          <w:lang w:val="en-US" w:eastAsia="zh-CN"/>
        </w:rPr>
        <w:t>天津市武清区人民法院</w:t>
      </w:r>
    </w:p>
    <w:p>
      <w:pPr>
        <w:pStyle w:val="21"/>
        <w:rPr>
          <w:rFonts w:hint="eastAsia"/>
          <w:color w:val="auto"/>
          <w:highlight w:val="none"/>
          <w:lang w:val="en-US" w:eastAsia="zh-CN"/>
        </w:rPr>
      </w:pPr>
      <w:r>
        <w:rPr>
          <w:rFonts w:hint="eastAsia" w:ascii="方正小标宋简体" w:hAnsi="方正小标宋简体" w:eastAsia="方正小标宋简体" w:cs="方正小标宋简体"/>
          <w:color w:val="auto"/>
          <w:highlight w:val="none"/>
          <w:lang w:val="en-US" w:eastAsia="zh-CN"/>
        </w:rPr>
        <w:t>刑事判决书</w:t>
      </w:r>
    </w:p>
    <w:p>
      <w:pPr>
        <w:pStyle w:val="22"/>
        <w:pageBreakBefore w:val="0"/>
        <w:rPr>
          <w:rFonts w:hint="eastAsia"/>
          <w:color w:val="auto"/>
          <w:sz w:val="32"/>
          <w:highlight w:val="none"/>
          <w:lang w:val="en-US" w:eastAsia="zh-CN"/>
        </w:rPr>
      </w:pPr>
    </w:p>
    <w:p>
      <w:pPr>
        <w:pStyle w:val="22"/>
        <w:pageBreakBefore w:val="0"/>
        <w:rPr>
          <w:rFonts w:hint="eastAsia"/>
          <w:color w:val="auto"/>
          <w:highlight w:val="none"/>
          <w:lang w:val="en-US" w:eastAsia="zh-CN"/>
        </w:rPr>
      </w:pPr>
      <w:r>
        <w:rPr>
          <w:rFonts w:hint="eastAsia"/>
          <w:color w:val="auto"/>
          <w:highlight w:val="none"/>
          <w:lang w:val="en-US" w:eastAsia="zh-CN"/>
        </w:rPr>
        <w:t>（2018）津0114刑初330号</w:t>
      </w:r>
    </w:p>
    <w:p>
      <w:pPr>
        <w:keepNext w:val="0"/>
        <w:pageBreakBefore w:val="0"/>
        <w:rPr>
          <w:rFonts w:hint="eastAsia"/>
          <w:color w:val="auto"/>
          <w:sz w:val="32"/>
          <w:highlight w:val="none"/>
          <w:lang w:val="en-US" w:eastAsia="zh-CN"/>
        </w:rPr>
      </w:pPr>
    </w:p>
    <w:p>
      <w:pPr>
        <w:pStyle w:val="20"/>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公诉机关天津市武清区人民检察院。</w:t>
      </w:r>
    </w:p>
    <w:p>
      <w:pPr>
        <w:pStyle w:val="2"/>
        <w:spacing w:line="520" w:lineRule="exact"/>
        <w:ind w:firstLine="646"/>
        <w:rPr>
          <w:rFonts w:hint="eastAsia" w:ascii="仿宋" w:hAnsi="仿宋" w:eastAsia="仿宋" w:cs="仿宋"/>
          <w:color w:val="auto"/>
          <w:highlight w:val="none"/>
          <w:lang w:eastAsia="zh-CN"/>
        </w:rPr>
      </w:pPr>
      <w:r>
        <w:rPr>
          <w:rFonts w:hint="eastAsia" w:ascii="仿宋" w:hAnsi="仿宋" w:eastAsia="仿宋" w:cs="仿宋"/>
          <w:color w:val="auto"/>
          <w:sz w:val="32"/>
          <w:szCs w:val="32"/>
          <w:highlight w:val="none"/>
        </w:rPr>
        <w:t>被告人信克龙，男，1987年3月5日出生于河北省固安县，汉族</w:t>
      </w:r>
      <w:r>
        <w:rPr>
          <w:rFonts w:hint="eastAsia" w:ascii="仿宋" w:hAnsi="仿宋" w:eastAsia="仿宋" w:cs="仿宋"/>
          <w:b w:val="0"/>
          <w:bCs w:val="0"/>
          <w:color w:val="auto"/>
          <w:sz w:val="32"/>
          <w:szCs w:val="32"/>
          <w:highlight w:val="none"/>
        </w:rPr>
        <w:t>，</w:t>
      </w:r>
      <w:r>
        <w:rPr>
          <w:rFonts w:hint="eastAsia" w:ascii="仿宋" w:hAnsi="仿宋" w:eastAsia="仿宋" w:cs="仿宋"/>
          <w:b w:val="0"/>
          <w:bCs w:val="0"/>
          <w:color w:val="auto"/>
          <w:sz w:val="32"/>
          <w:szCs w:val="32"/>
          <w:highlight w:val="none"/>
          <w:lang w:eastAsia="zh-CN"/>
        </w:rPr>
        <w:t>农民</w:t>
      </w:r>
      <w:r>
        <w:rPr>
          <w:rFonts w:hint="eastAsia" w:ascii="仿宋" w:hAnsi="仿宋" w:eastAsia="仿宋" w:cs="仿宋"/>
          <w:b w:val="0"/>
          <w:bCs w:val="0"/>
          <w:color w:val="auto"/>
          <w:sz w:val="32"/>
          <w:szCs w:val="32"/>
          <w:highlight w:val="none"/>
        </w:rPr>
        <w:t>，</w:t>
      </w:r>
      <w:r>
        <w:rPr>
          <w:rFonts w:hint="eastAsia" w:ascii="仿宋" w:hAnsi="仿宋" w:eastAsia="仿宋" w:cs="仿宋"/>
          <w:color w:val="auto"/>
          <w:sz w:val="32"/>
          <w:szCs w:val="32"/>
          <w:highlight w:val="none"/>
        </w:rPr>
        <w:t>初中文化，住河北省固安县礼让店乡齐家村045号。</w:t>
      </w:r>
      <w:r>
        <w:rPr>
          <w:rFonts w:hint="eastAsia" w:ascii="仿宋" w:hAnsi="仿宋" w:eastAsia="仿宋" w:cs="仿宋"/>
          <w:color w:val="auto"/>
          <w:sz w:val="32"/>
          <w:szCs w:val="32"/>
          <w:highlight w:val="none"/>
          <w:lang w:eastAsia="zh-CN"/>
        </w:rPr>
        <w:t>有前科，</w:t>
      </w:r>
      <w:r>
        <w:rPr>
          <w:rFonts w:hint="eastAsia" w:ascii="仿宋" w:hAnsi="仿宋" w:eastAsia="仿宋" w:cs="仿宋"/>
          <w:color w:val="auto"/>
          <w:sz w:val="32"/>
          <w:szCs w:val="32"/>
          <w:highlight w:val="none"/>
        </w:rPr>
        <w:t>曾因犯</w:t>
      </w:r>
      <w:r>
        <w:rPr>
          <w:rFonts w:hint="eastAsia" w:ascii="仿宋" w:hAnsi="仿宋" w:eastAsia="仿宋" w:cs="仿宋"/>
          <w:color w:val="auto"/>
          <w:sz w:val="32"/>
          <w:szCs w:val="32"/>
          <w:highlight w:val="none"/>
          <w:lang w:eastAsia="zh-CN"/>
        </w:rPr>
        <w:t>盗窃</w:t>
      </w:r>
      <w:r>
        <w:rPr>
          <w:rFonts w:hint="eastAsia" w:ascii="仿宋" w:hAnsi="仿宋" w:eastAsia="仿宋" w:cs="仿宋"/>
          <w:color w:val="auto"/>
          <w:sz w:val="32"/>
          <w:szCs w:val="32"/>
          <w:highlight w:val="none"/>
        </w:rPr>
        <w:t>罪于2017年5月</w:t>
      </w:r>
      <w:r>
        <w:rPr>
          <w:rFonts w:hint="eastAsia" w:ascii="仿宋" w:hAnsi="仿宋" w:eastAsia="仿宋" w:cs="仿宋"/>
          <w:color w:val="auto"/>
          <w:sz w:val="32"/>
          <w:szCs w:val="32"/>
          <w:highlight w:val="none"/>
          <w:lang w:val="en-US" w:eastAsia="zh-CN"/>
        </w:rPr>
        <w:t>1</w:t>
      </w:r>
      <w:r>
        <w:rPr>
          <w:rFonts w:hint="eastAsia" w:ascii="仿宋" w:hAnsi="仿宋" w:eastAsia="仿宋" w:cs="仿宋"/>
          <w:color w:val="auto"/>
          <w:sz w:val="32"/>
          <w:szCs w:val="32"/>
          <w:highlight w:val="none"/>
        </w:rPr>
        <w:t>8日被河北省廊坊经济技术开发区人民法院判处有期徒刑八个月，并处罚金人民币</w:t>
      </w:r>
      <w:r>
        <w:rPr>
          <w:rFonts w:hint="eastAsia" w:ascii="仿宋" w:hAnsi="仿宋" w:eastAsia="仿宋" w:cs="仿宋"/>
          <w:color w:val="auto"/>
          <w:sz w:val="32"/>
          <w:szCs w:val="32"/>
          <w:highlight w:val="none"/>
          <w:lang w:eastAsia="zh-CN"/>
        </w:rPr>
        <w:t>五千</w:t>
      </w:r>
      <w:r>
        <w:rPr>
          <w:rFonts w:hint="eastAsia" w:ascii="仿宋" w:hAnsi="仿宋" w:eastAsia="仿宋" w:cs="仿宋"/>
          <w:color w:val="auto"/>
          <w:sz w:val="32"/>
          <w:szCs w:val="32"/>
          <w:highlight w:val="none"/>
        </w:rPr>
        <w:t>元，于2017年6月30日被释放。现因</w:t>
      </w:r>
      <w:r>
        <w:rPr>
          <w:rFonts w:hint="eastAsia" w:ascii="仿宋" w:hAnsi="仿宋" w:eastAsia="仿宋" w:cs="仿宋"/>
          <w:color w:val="auto"/>
          <w:sz w:val="32"/>
          <w:szCs w:val="32"/>
          <w:highlight w:val="none"/>
          <w:lang w:eastAsia="zh-CN"/>
        </w:rPr>
        <w:t>本案</w:t>
      </w:r>
      <w:r>
        <w:rPr>
          <w:rFonts w:hint="eastAsia" w:ascii="仿宋" w:hAnsi="仿宋" w:eastAsia="仿宋" w:cs="仿宋"/>
          <w:color w:val="auto"/>
          <w:sz w:val="32"/>
          <w:szCs w:val="32"/>
          <w:highlight w:val="none"/>
        </w:rPr>
        <w:t>于2017年8月16日被天津市公安局武清分局取保候审，于2018年4月9日被天津市武清区人民检察院取保候审。</w:t>
      </w:r>
    </w:p>
    <w:p>
      <w:pPr>
        <w:pStyle w:val="27"/>
        <w:keepNext w:val="0"/>
        <w:keepLines w:val="0"/>
        <w:pageBreakBefore w:val="0"/>
        <w:widowControl w:val="0"/>
        <w:kinsoku/>
        <w:wordWrap/>
        <w:overflowPunct/>
        <w:topLinePunct w:val="0"/>
        <w:autoSpaceDE/>
        <w:autoSpaceDN/>
        <w:bidi w:val="0"/>
        <w:adjustRightInd/>
        <w:snapToGrid/>
        <w:spacing w:line="520" w:lineRule="exact"/>
        <w:ind w:left="0" w:leftChars="0" w:firstLine="632" w:firstLineChars="200"/>
        <w:jc w:val="both"/>
        <w:textAlignment w:val="auto"/>
        <w:outlineLvl w:val="9"/>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天津市武清区人民检察院以津武检公诉刑</w:t>
      </w:r>
      <w:r>
        <w:rPr>
          <w:rFonts w:hint="eastAsia" w:ascii="仿宋" w:hAnsi="仿宋" w:eastAsia="仿宋" w:cs="仿宋"/>
          <w:color w:val="auto"/>
          <w:kern w:val="2"/>
          <w:sz w:val="32"/>
          <w:szCs w:val="32"/>
          <w:highlight w:val="none"/>
          <w:lang w:val="en-US" w:eastAsia="zh-CN" w:bidi="ar-SA"/>
        </w:rPr>
        <w:t>诉〔2018〕344号</w:t>
      </w:r>
      <w:r>
        <w:rPr>
          <w:rFonts w:hint="eastAsia" w:ascii="仿宋" w:hAnsi="仿宋" w:eastAsia="仿宋" w:cs="仿宋"/>
          <w:color w:val="auto"/>
          <w:highlight w:val="none"/>
          <w:lang w:val="en-US" w:eastAsia="zh-CN"/>
        </w:rPr>
        <w:t>起诉书指控被告人信克龙犯信用卡诈骗罪，</w:t>
      </w:r>
      <w:r>
        <w:rPr>
          <w:rFonts w:hint="eastAsia" w:ascii="仿宋" w:hAnsi="仿宋" w:eastAsia="仿宋" w:cs="仿宋"/>
          <w:color w:val="auto"/>
          <w:kern w:val="2"/>
          <w:sz w:val="32"/>
          <w:szCs w:val="32"/>
          <w:highlight w:val="none"/>
          <w:lang w:val="en-US" w:eastAsia="zh-CN" w:bidi="ar-SA"/>
        </w:rPr>
        <w:t>于2018年6月12日</w:t>
      </w:r>
      <w:r>
        <w:rPr>
          <w:rFonts w:hint="eastAsia" w:ascii="仿宋" w:hAnsi="仿宋" w:eastAsia="仿宋" w:cs="仿宋"/>
          <w:color w:val="auto"/>
          <w:highlight w:val="none"/>
          <w:lang w:val="en-US" w:eastAsia="zh-CN"/>
        </w:rPr>
        <w:t>向本院提起公诉，适用认罪认罚从宽制度。本院于当日立案，并依法适用简易程序，实行独任审判，公开开庭审理了本案。天津市武清区人民检察院指派检察员</w:t>
      </w:r>
      <w:r>
        <w:rPr>
          <w:rFonts w:hint="eastAsia" w:ascii="仿宋" w:hAnsi="仿宋" w:eastAsia="仿宋" w:cs="仿宋"/>
          <w:b w:val="0"/>
          <w:bCs w:val="0"/>
          <w:color w:val="auto"/>
          <w:highlight w:val="none"/>
          <w:lang w:val="en-US" w:eastAsia="zh-CN"/>
        </w:rPr>
        <w:t>谢文凯</w:t>
      </w:r>
      <w:r>
        <w:rPr>
          <w:rFonts w:hint="eastAsia" w:ascii="仿宋" w:hAnsi="仿宋" w:eastAsia="仿宋" w:cs="仿宋"/>
          <w:color w:val="auto"/>
          <w:highlight w:val="none"/>
          <w:lang w:val="en-US" w:eastAsia="zh-CN"/>
        </w:rPr>
        <w:t>出庭支持公诉，被告人信克龙到庭参加诉讼。本案现已审理终结。</w:t>
      </w:r>
    </w:p>
    <w:p>
      <w:pPr>
        <w:keepNext w:val="0"/>
        <w:keepLines w:val="0"/>
        <w:pageBreakBefore w:val="0"/>
        <w:widowControl w:val="0"/>
        <w:kinsoku/>
        <w:wordWrap/>
        <w:overflowPunct/>
        <w:topLinePunct w:val="0"/>
        <w:autoSpaceDE/>
        <w:autoSpaceDN/>
        <w:bidi w:val="0"/>
        <w:adjustRightInd/>
        <w:snapToGrid/>
        <w:spacing w:line="520" w:lineRule="exact"/>
        <w:ind w:left="0" w:leftChars="0" w:right="-32" w:firstLine="632" w:firstLineChars="200"/>
        <w:jc w:val="both"/>
        <w:textAlignment w:val="auto"/>
        <w:outlineLvl w:val="9"/>
        <w:rPr>
          <w:rFonts w:hint="eastAsia" w:ascii="仿宋" w:hAnsi="仿宋" w:eastAsia="仿宋" w:cs="仿宋"/>
          <w:color w:val="auto"/>
          <w:sz w:val="32"/>
          <w:szCs w:val="32"/>
          <w:highlight w:val="none"/>
        </w:rPr>
      </w:pPr>
      <w:r>
        <w:rPr>
          <w:rFonts w:hint="eastAsia" w:ascii="仿宋" w:hAnsi="仿宋" w:eastAsia="仿宋" w:cs="仿宋"/>
          <w:color w:val="auto"/>
          <w:highlight w:val="none"/>
          <w:lang w:val="en-US" w:eastAsia="zh-CN"/>
        </w:rPr>
        <w:t>经审理查明，</w:t>
      </w:r>
      <w:r>
        <w:rPr>
          <w:rFonts w:hint="eastAsia" w:ascii="仿宋" w:hAnsi="仿宋" w:eastAsia="仿宋" w:cs="仿宋"/>
          <w:color w:val="auto"/>
          <w:sz w:val="32"/>
          <w:szCs w:val="32"/>
          <w:highlight w:val="none"/>
        </w:rPr>
        <w:t>被告人信克龙于2017年8月14日凌晨，至天津市武清区大王古庄镇陈各庄村被害人张斌鹏租住处，趁张斌鹏睡觉之机，窃取张斌鹏OPPO牌手机1部、挎包1个，内有雨伞1把、现金人民币80余元等物。后于当日凌晨5时许，信克龙将上述手机中存有的手机卡安装在自己手机上，通过获取并输入手机动态验证码的方式，登录张斌鹏与该手机卡绑定的微信账户；又冒充张斌鹏身份，通过与张斌鹏妻子张丽琴微信聊天的方式，从张丽琴处骗取张斌鹏的身份证号码及银行卡号码等信息资料；后利用上述信用卡信息资料及手机卡，更改张斌鹏支付宝账</w:t>
      </w:r>
      <w:r>
        <w:rPr>
          <w:rFonts w:hint="eastAsia" w:ascii="仿宋" w:hAnsi="仿宋" w:eastAsia="仿宋" w:cs="仿宋"/>
          <w:color w:val="auto"/>
          <w:sz w:val="32"/>
          <w:szCs w:val="32"/>
          <w:highlight w:val="none"/>
          <w:lang w:eastAsia="zh-CN"/>
        </w:rPr>
        <w:t>及京东账户支付密码，又将上述支付宝账</w:t>
      </w:r>
      <w:r>
        <w:rPr>
          <w:rFonts w:hint="eastAsia" w:ascii="仿宋" w:hAnsi="仿宋" w:eastAsia="仿宋" w:cs="仿宋"/>
          <w:color w:val="auto"/>
          <w:sz w:val="32"/>
          <w:szCs w:val="32"/>
          <w:highlight w:val="none"/>
        </w:rPr>
        <w:t>户中</w:t>
      </w:r>
      <w:r>
        <w:rPr>
          <w:rFonts w:hint="eastAsia" w:ascii="仿宋" w:hAnsi="仿宋" w:eastAsia="仿宋" w:cs="仿宋"/>
          <w:color w:val="auto"/>
          <w:sz w:val="32"/>
          <w:szCs w:val="32"/>
          <w:highlight w:val="none"/>
          <w:lang w:eastAsia="zh-CN"/>
        </w:rPr>
        <w:t>人民币</w:t>
      </w:r>
      <w:r>
        <w:rPr>
          <w:rFonts w:hint="eastAsia" w:ascii="仿宋" w:hAnsi="仿宋" w:eastAsia="仿宋" w:cs="仿宋"/>
          <w:color w:val="auto"/>
          <w:sz w:val="32"/>
          <w:szCs w:val="32"/>
          <w:highlight w:val="none"/>
        </w:rPr>
        <w:t>6</w:t>
      </w:r>
      <w:r>
        <w:rPr>
          <w:rFonts w:hint="eastAsia" w:ascii="仿宋" w:hAnsi="仿宋" w:eastAsia="仿宋" w:cs="仿宋"/>
          <w:color w:val="auto"/>
          <w:sz w:val="32"/>
          <w:szCs w:val="32"/>
          <w:highlight w:val="none"/>
          <w:lang w:val="en-US" w:eastAsia="zh-CN"/>
        </w:rPr>
        <w:t>,</w:t>
      </w:r>
      <w:r>
        <w:rPr>
          <w:rFonts w:hint="eastAsia" w:ascii="仿宋" w:hAnsi="仿宋" w:eastAsia="仿宋" w:cs="仿宋"/>
          <w:color w:val="auto"/>
          <w:sz w:val="32"/>
          <w:szCs w:val="32"/>
          <w:highlight w:val="none"/>
        </w:rPr>
        <w:t>300元、京东账户中</w:t>
      </w:r>
      <w:r>
        <w:rPr>
          <w:rFonts w:hint="eastAsia" w:ascii="仿宋" w:hAnsi="仿宋" w:eastAsia="仿宋" w:cs="仿宋"/>
          <w:color w:val="auto"/>
          <w:sz w:val="32"/>
          <w:szCs w:val="32"/>
          <w:highlight w:val="none"/>
          <w:lang w:eastAsia="zh-CN"/>
        </w:rPr>
        <w:t>人民币</w:t>
      </w:r>
      <w:r>
        <w:rPr>
          <w:rFonts w:hint="eastAsia" w:ascii="仿宋" w:hAnsi="仿宋" w:eastAsia="仿宋" w:cs="仿宋"/>
          <w:color w:val="auto"/>
          <w:sz w:val="32"/>
          <w:szCs w:val="32"/>
          <w:highlight w:val="none"/>
        </w:rPr>
        <w:t>1</w:t>
      </w:r>
      <w:r>
        <w:rPr>
          <w:rFonts w:hint="eastAsia" w:ascii="仿宋" w:hAnsi="仿宋" w:eastAsia="仿宋" w:cs="仿宋"/>
          <w:color w:val="auto"/>
          <w:sz w:val="32"/>
          <w:szCs w:val="32"/>
          <w:highlight w:val="none"/>
          <w:lang w:val="en-US" w:eastAsia="zh-CN"/>
        </w:rPr>
        <w:t>,</w:t>
      </w:r>
      <w:r>
        <w:rPr>
          <w:rFonts w:hint="eastAsia" w:ascii="仿宋" w:hAnsi="仿宋" w:eastAsia="仿宋" w:cs="仿宋"/>
          <w:color w:val="auto"/>
          <w:sz w:val="32"/>
          <w:szCs w:val="32"/>
          <w:highlight w:val="none"/>
        </w:rPr>
        <w:t>500余元先后转入张斌鹏与上述支付宝及京东账户绑定的中国邮政储蓄</w:t>
      </w:r>
      <w:r>
        <w:rPr>
          <w:rFonts w:hint="eastAsia" w:ascii="仿宋" w:hAnsi="仿宋" w:eastAsia="仿宋" w:cs="仿宋"/>
          <w:color w:val="auto"/>
          <w:sz w:val="32"/>
          <w:szCs w:val="32"/>
          <w:highlight w:val="none"/>
          <w:lang w:eastAsia="zh-CN"/>
        </w:rPr>
        <w:t>卡</w:t>
      </w:r>
      <w:r>
        <w:rPr>
          <w:rFonts w:hint="eastAsia" w:ascii="仿宋" w:hAnsi="仿宋" w:eastAsia="仿宋" w:cs="仿宋"/>
          <w:color w:val="auto"/>
          <w:sz w:val="32"/>
          <w:szCs w:val="32"/>
          <w:highlight w:val="none"/>
        </w:rPr>
        <w:t>银行账户内，后采用支付宝及京东账户快捷支付等手段，将张斌鹏上述邮政储蓄</w:t>
      </w:r>
      <w:r>
        <w:rPr>
          <w:rFonts w:hint="eastAsia" w:ascii="仿宋" w:hAnsi="仿宋" w:eastAsia="仿宋" w:cs="仿宋"/>
          <w:color w:val="auto"/>
          <w:sz w:val="32"/>
          <w:szCs w:val="32"/>
          <w:highlight w:val="none"/>
          <w:lang w:eastAsia="zh-CN"/>
        </w:rPr>
        <w:t>卡</w:t>
      </w:r>
      <w:r>
        <w:rPr>
          <w:rFonts w:hint="eastAsia" w:ascii="仿宋" w:hAnsi="仿宋" w:eastAsia="仿宋" w:cs="仿宋"/>
          <w:color w:val="auto"/>
          <w:sz w:val="32"/>
          <w:szCs w:val="32"/>
          <w:highlight w:val="none"/>
        </w:rPr>
        <w:t>银行账户及同样与支付宝及京东账户绑定的浦发银行</w:t>
      </w:r>
      <w:r>
        <w:rPr>
          <w:rFonts w:hint="eastAsia" w:ascii="仿宋" w:hAnsi="仿宋" w:eastAsia="仿宋" w:cs="仿宋"/>
          <w:color w:val="auto"/>
          <w:sz w:val="32"/>
          <w:szCs w:val="32"/>
          <w:highlight w:val="none"/>
          <w:lang w:eastAsia="zh-CN"/>
        </w:rPr>
        <w:t>卡</w:t>
      </w:r>
      <w:r>
        <w:rPr>
          <w:rFonts w:hint="eastAsia" w:ascii="仿宋" w:hAnsi="仿宋" w:eastAsia="仿宋" w:cs="仿宋"/>
          <w:color w:val="auto"/>
          <w:sz w:val="32"/>
          <w:szCs w:val="32"/>
          <w:highlight w:val="none"/>
        </w:rPr>
        <w:t>账户、交通银行</w:t>
      </w:r>
      <w:r>
        <w:rPr>
          <w:rFonts w:hint="eastAsia" w:ascii="仿宋" w:hAnsi="仿宋" w:eastAsia="仿宋" w:cs="仿宋"/>
          <w:color w:val="auto"/>
          <w:sz w:val="32"/>
          <w:szCs w:val="32"/>
          <w:highlight w:val="none"/>
          <w:lang w:eastAsia="zh-CN"/>
        </w:rPr>
        <w:t>卡</w:t>
      </w:r>
      <w:r>
        <w:rPr>
          <w:rFonts w:hint="eastAsia" w:ascii="仿宋" w:hAnsi="仿宋" w:eastAsia="仿宋" w:cs="仿宋"/>
          <w:color w:val="auto"/>
          <w:sz w:val="32"/>
          <w:szCs w:val="32"/>
          <w:highlight w:val="none"/>
        </w:rPr>
        <w:t>账户中的</w:t>
      </w:r>
      <w:r>
        <w:rPr>
          <w:rFonts w:hint="eastAsia" w:ascii="仿宋" w:hAnsi="仿宋" w:eastAsia="仿宋" w:cs="仿宋"/>
          <w:color w:val="auto"/>
          <w:sz w:val="32"/>
          <w:szCs w:val="32"/>
          <w:highlight w:val="none"/>
          <w:lang w:eastAsia="zh-CN"/>
        </w:rPr>
        <w:t>人民币</w:t>
      </w:r>
      <w:r>
        <w:rPr>
          <w:rFonts w:hint="eastAsia" w:ascii="仿宋" w:hAnsi="仿宋" w:eastAsia="仿宋" w:cs="仿宋"/>
          <w:color w:val="auto"/>
          <w:sz w:val="32"/>
          <w:szCs w:val="32"/>
          <w:highlight w:val="none"/>
        </w:rPr>
        <w:t>17</w:t>
      </w:r>
      <w:r>
        <w:rPr>
          <w:rFonts w:hint="eastAsia" w:ascii="仿宋" w:hAnsi="仿宋" w:eastAsia="仿宋" w:cs="仿宋"/>
          <w:color w:val="auto"/>
          <w:sz w:val="32"/>
          <w:szCs w:val="32"/>
          <w:highlight w:val="none"/>
          <w:lang w:val="en-US" w:eastAsia="zh-CN"/>
        </w:rPr>
        <w:t>,</w:t>
      </w:r>
      <w:r>
        <w:rPr>
          <w:rFonts w:hint="eastAsia" w:ascii="仿宋" w:hAnsi="仿宋" w:eastAsia="仿宋" w:cs="仿宋"/>
          <w:color w:val="auto"/>
          <w:sz w:val="32"/>
          <w:szCs w:val="32"/>
          <w:highlight w:val="none"/>
        </w:rPr>
        <w:t>500余元支出用于在京东商城购买金条5根，将上述银行账户中</w:t>
      </w:r>
      <w:r>
        <w:rPr>
          <w:rFonts w:hint="eastAsia" w:ascii="仿宋" w:hAnsi="仿宋" w:eastAsia="仿宋" w:cs="仿宋"/>
          <w:color w:val="auto"/>
          <w:sz w:val="32"/>
          <w:szCs w:val="32"/>
          <w:highlight w:val="none"/>
          <w:lang w:eastAsia="zh-CN"/>
        </w:rPr>
        <w:t>人民币</w:t>
      </w:r>
      <w:r>
        <w:rPr>
          <w:rFonts w:hint="eastAsia" w:ascii="仿宋" w:hAnsi="仿宋" w:eastAsia="仿宋" w:cs="仿宋"/>
          <w:color w:val="auto"/>
          <w:sz w:val="32"/>
          <w:szCs w:val="32"/>
          <w:highlight w:val="none"/>
        </w:rPr>
        <w:t>200余元支出用于购买充电宝等物品，</w:t>
      </w:r>
      <w:r>
        <w:rPr>
          <w:rFonts w:hint="eastAsia" w:ascii="仿宋" w:hAnsi="仿宋" w:eastAsia="仿宋" w:cs="仿宋"/>
          <w:color w:val="auto"/>
          <w:sz w:val="32"/>
          <w:szCs w:val="32"/>
          <w:highlight w:val="none"/>
          <w:lang w:eastAsia="zh-CN"/>
        </w:rPr>
        <w:t>还</w:t>
      </w:r>
      <w:r>
        <w:rPr>
          <w:rFonts w:hint="eastAsia" w:ascii="仿宋" w:hAnsi="仿宋" w:eastAsia="仿宋" w:cs="仿宋"/>
          <w:color w:val="auto"/>
          <w:sz w:val="32"/>
          <w:szCs w:val="32"/>
          <w:highlight w:val="none"/>
        </w:rPr>
        <w:t>将上述银行账户中</w:t>
      </w:r>
      <w:r>
        <w:rPr>
          <w:rFonts w:hint="eastAsia" w:ascii="仿宋" w:hAnsi="仿宋" w:eastAsia="仿宋" w:cs="仿宋"/>
          <w:color w:val="auto"/>
          <w:sz w:val="32"/>
          <w:szCs w:val="32"/>
          <w:highlight w:val="none"/>
          <w:lang w:eastAsia="zh-CN"/>
        </w:rPr>
        <w:t>人民币</w:t>
      </w:r>
      <w:r>
        <w:rPr>
          <w:rFonts w:hint="eastAsia" w:ascii="仿宋" w:hAnsi="仿宋" w:eastAsia="仿宋" w:cs="仿宋"/>
          <w:color w:val="auto"/>
          <w:sz w:val="32"/>
          <w:szCs w:val="32"/>
          <w:highlight w:val="none"/>
        </w:rPr>
        <w:t>200元支出用于给张斌鹏手机卡充值。经天津市武清区价格认证中心鉴定，上述被盗手机价值人民币900元。</w:t>
      </w:r>
    </w:p>
    <w:p>
      <w:pPr>
        <w:keepNext w:val="0"/>
        <w:keepLines w:val="0"/>
        <w:pageBreakBefore w:val="0"/>
        <w:widowControl w:val="0"/>
        <w:kinsoku/>
        <w:wordWrap/>
        <w:overflowPunct/>
        <w:topLinePunct w:val="0"/>
        <w:autoSpaceDE/>
        <w:autoSpaceDN/>
        <w:bidi w:val="0"/>
        <w:adjustRightInd/>
        <w:snapToGrid/>
        <w:spacing w:line="520" w:lineRule="exact"/>
        <w:ind w:left="0" w:leftChars="0" w:right="-32" w:firstLine="632" w:firstLineChars="200"/>
        <w:jc w:val="both"/>
        <w:textAlignment w:val="auto"/>
        <w:outlineLvl w:val="9"/>
        <w:rPr>
          <w:rFonts w:hint="eastAsia" w:ascii="仿宋" w:hAnsi="仿宋" w:eastAsia="仿宋" w:cs="仿宋"/>
          <w:color w:val="auto"/>
          <w:sz w:val="32"/>
          <w:szCs w:val="32"/>
          <w:highlight w:val="none"/>
        </w:rPr>
      </w:pPr>
      <w:r>
        <w:rPr>
          <w:rFonts w:hint="eastAsia" w:ascii="仿宋" w:hAnsi="仿宋" w:eastAsia="仿宋" w:cs="仿宋"/>
          <w:color w:val="auto"/>
          <w:sz w:val="32"/>
          <w:szCs w:val="32"/>
          <w:highlight w:val="none"/>
        </w:rPr>
        <w:t>被告人信克龙于2017年8月15日在河北省固安县固安镇医院附近准备收取上述金条时被公安机关抓获，其到案后自愿如实供述了上述事实，上述用于购买金条的钱款已返还被害人张斌鹏账户内。</w:t>
      </w:r>
    </w:p>
    <w:p>
      <w:pPr>
        <w:keepNext w:val="0"/>
        <w:keepLines w:val="0"/>
        <w:pageBreakBefore w:val="0"/>
        <w:widowControl w:val="0"/>
        <w:kinsoku/>
        <w:wordWrap/>
        <w:overflowPunct/>
        <w:topLinePunct w:val="0"/>
        <w:autoSpaceDE/>
        <w:autoSpaceDN/>
        <w:bidi w:val="0"/>
        <w:adjustRightInd/>
        <w:snapToGrid/>
        <w:spacing w:line="520" w:lineRule="exact"/>
        <w:ind w:left="0" w:leftChars="0" w:right="-32" w:firstLine="632" w:firstLineChars="200"/>
        <w:jc w:val="both"/>
        <w:textAlignment w:val="auto"/>
        <w:outlineLvl w:val="9"/>
        <w:rPr>
          <w:rFonts w:hint="eastAsia" w:ascii="仿宋" w:hAnsi="仿宋" w:eastAsia="仿宋" w:cs="仿宋"/>
          <w:color w:val="auto"/>
          <w:sz w:val="32"/>
          <w:szCs w:val="32"/>
          <w:highlight w:val="none"/>
          <w:lang w:eastAsia="zh-CN"/>
        </w:rPr>
      </w:pPr>
      <w:r>
        <w:rPr>
          <w:rFonts w:hint="eastAsia" w:ascii="仿宋" w:hAnsi="仿宋" w:eastAsia="仿宋" w:cs="仿宋"/>
          <w:color w:val="auto"/>
          <w:sz w:val="32"/>
          <w:szCs w:val="32"/>
          <w:highlight w:val="none"/>
          <w:lang w:eastAsia="zh-CN"/>
        </w:rPr>
        <w:t>被告人作案工具白色、华为手机一部，经公安机关扣押后已随案移送。</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32" w:firstLineChars="200"/>
        <w:jc w:val="both"/>
        <w:textAlignment w:val="auto"/>
        <w:outlineLvl w:val="9"/>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上述事实，被告人信克龙在开庭审理过程中亦无异议，且有案件来源、抓获经过，</w:t>
      </w:r>
      <w:r>
        <w:rPr>
          <w:rFonts w:hint="eastAsia" w:ascii="仿宋" w:hAnsi="仿宋" w:eastAsia="仿宋" w:cs="仿宋"/>
          <w:color w:val="auto"/>
          <w:sz w:val="32"/>
          <w:szCs w:val="32"/>
          <w:highlight w:val="none"/>
        </w:rPr>
        <w:t>现场勘查笔录、现场图、现场照片</w:t>
      </w:r>
      <w:r>
        <w:rPr>
          <w:rFonts w:hint="eastAsia" w:ascii="仿宋" w:hAnsi="仿宋" w:eastAsia="仿宋" w:cs="仿宋"/>
          <w:color w:val="auto"/>
          <w:sz w:val="32"/>
          <w:szCs w:val="32"/>
          <w:highlight w:val="none"/>
          <w:lang w:eastAsia="zh-CN"/>
        </w:rPr>
        <w:t>、</w:t>
      </w:r>
      <w:r>
        <w:rPr>
          <w:rFonts w:hint="eastAsia" w:ascii="仿宋" w:hAnsi="仿宋" w:eastAsia="仿宋" w:cs="仿宋"/>
          <w:color w:val="auto"/>
          <w:sz w:val="32"/>
          <w:szCs w:val="32"/>
          <w:highlight w:val="none"/>
        </w:rPr>
        <w:t>扣押决定书、扣押清单、调取证据通知书及清单、京东交易记录、浦发银行交易记录、交通银行交易记录</w:t>
      </w:r>
      <w:r>
        <w:rPr>
          <w:rFonts w:hint="eastAsia" w:ascii="仿宋" w:hAnsi="仿宋" w:eastAsia="仿宋" w:cs="仿宋"/>
          <w:color w:val="auto"/>
          <w:sz w:val="32"/>
          <w:szCs w:val="32"/>
          <w:highlight w:val="none"/>
          <w:lang w:eastAsia="zh-CN"/>
        </w:rPr>
        <w:t>、</w:t>
      </w:r>
      <w:r>
        <w:rPr>
          <w:rFonts w:hint="eastAsia" w:ascii="仿宋" w:hAnsi="仿宋" w:eastAsia="仿宋" w:cs="仿宋"/>
          <w:color w:val="auto"/>
          <w:sz w:val="32"/>
          <w:szCs w:val="32"/>
          <w:highlight w:val="none"/>
        </w:rPr>
        <w:t>接受证据材料清单、账户交易明细、被害人</w:t>
      </w:r>
      <w:r>
        <w:rPr>
          <w:rFonts w:hint="eastAsia" w:ascii="仿宋" w:hAnsi="仿宋" w:eastAsia="仿宋" w:cs="仿宋"/>
          <w:color w:val="auto"/>
          <w:sz w:val="32"/>
          <w:szCs w:val="32"/>
          <w:highlight w:val="none"/>
          <w:lang w:eastAsia="zh-CN"/>
        </w:rPr>
        <w:t>陈述、</w:t>
      </w:r>
      <w:r>
        <w:rPr>
          <w:rFonts w:hint="eastAsia" w:ascii="仿宋" w:hAnsi="仿宋" w:eastAsia="仿宋" w:cs="仿宋"/>
          <w:color w:val="auto"/>
          <w:sz w:val="32"/>
          <w:szCs w:val="32"/>
          <w:highlight w:val="none"/>
        </w:rPr>
        <w:t>证人</w:t>
      </w:r>
      <w:r>
        <w:rPr>
          <w:rFonts w:hint="eastAsia" w:ascii="仿宋" w:hAnsi="仿宋" w:eastAsia="仿宋" w:cs="仿宋"/>
          <w:color w:val="auto"/>
          <w:sz w:val="32"/>
          <w:szCs w:val="32"/>
          <w:highlight w:val="none"/>
          <w:lang w:eastAsia="zh-CN"/>
        </w:rPr>
        <w:t>证言、</w:t>
      </w:r>
      <w:r>
        <w:rPr>
          <w:rFonts w:hint="eastAsia" w:ascii="仿宋" w:hAnsi="仿宋" w:eastAsia="仿宋" w:cs="仿宋"/>
          <w:color w:val="auto"/>
          <w:sz w:val="32"/>
          <w:szCs w:val="32"/>
          <w:highlight w:val="none"/>
        </w:rPr>
        <w:t>刑事判决书、释放证明、天津市武清区价格认证中心价格认定结论书、鉴定意见通知书、电子证据检查工作记录</w:t>
      </w:r>
      <w:r>
        <w:rPr>
          <w:rFonts w:hint="eastAsia" w:ascii="仿宋" w:hAnsi="仿宋" w:eastAsia="仿宋" w:cs="仿宋"/>
          <w:color w:val="auto"/>
          <w:sz w:val="32"/>
          <w:szCs w:val="32"/>
          <w:highlight w:val="none"/>
          <w:lang w:eastAsia="zh-CN"/>
        </w:rPr>
        <w:t>、</w:t>
      </w:r>
      <w:r>
        <w:rPr>
          <w:rFonts w:hint="eastAsia" w:ascii="仿宋" w:hAnsi="仿宋" w:eastAsia="仿宋" w:cs="仿宋"/>
          <w:color w:val="auto"/>
          <w:kern w:val="0"/>
          <w:sz w:val="32"/>
          <w:szCs w:val="32"/>
          <w:highlight w:val="none"/>
        </w:rPr>
        <w:t>光盘一张</w:t>
      </w:r>
      <w:r>
        <w:rPr>
          <w:rFonts w:hint="eastAsia" w:ascii="仿宋" w:hAnsi="仿宋" w:eastAsia="仿宋" w:cs="仿宋"/>
          <w:color w:val="auto"/>
          <w:kern w:val="0"/>
          <w:sz w:val="32"/>
          <w:szCs w:val="32"/>
          <w:highlight w:val="none"/>
          <w:lang w:eastAsia="zh-CN"/>
        </w:rPr>
        <w:t>、</w:t>
      </w:r>
      <w:r>
        <w:rPr>
          <w:rFonts w:hint="eastAsia" w:ascii="仿宋" w:hAnsi="仿宋" w:eastAsia="仿宋" w:cs="仿宋"/>
          <w:color w:val="auto"/>
          <w:highlight w:val="none"/>
          <w:lang w:val="en-US" w:eastAsia="zh-CN"/>
        </w:rPr>
        <w:t>居民信息、认罪认罚具结书及被告人供述等证据证明，足以认定。</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highlight w:val="none"/>
          <w:lang w:val="en-US" w:eastAsia="zh-CN"/>
        </w:rPr>
        <w:t>本院认为，</w:t>
      </w:r>
      <w:r>
        <w:rPr>
          <w:rFonts w:hint="eastAsia" w:ascii="仿宋" w:hAnsi="仿宋" w:eastAsia="仿宋" w:cs="仿宋"/>
          <w:color w:val="auto"/>
          <w:kern w:val="0"/>
          <w:sz w:val="32"/>
          <w:szCs w:val="32"/>
          <w:highlight w:val="none"/>
          <w:shd w:val="clear" w:color="auto" w:fill="FFFFFF"/>
          <w:lang w:val="en-US" w:eastAsia="zh-CN" w:bidi="ar"/>
        </w:rPr>
        <w:t>被告人</w:t>
      </w:r>
      <w:r>
        <w:rPr>
          <w:rFonts w:hint="eastAsia" w:ascii="仿宋" w:hAnsi="仿宋" w:eastAsia="仿宋" w:cs="仿宋"/>
          <w:color w:val="auto"/>
          <w:highlight w:val="none"/>
          <w:lang w:val="en-US" w:eastAsia="zh-CN"/>
        </w:rPr>
        <w:t>信克龙</w:t>
      </w:r>
      <w:r>
        <w:rPr>
          <w:rFonts w:hint="eastAsia" w:ascii="仿宋" w:hAnsi="仿宋" w:eastAsia="仿宋" w:cs="仿宋"/>
          <w:color w:val="auto"/>
          <w:kern w:val="0"/>
          <w:sz w:val="32"/>
          <w:szCs w:val="32"/>
          <w:highlight w:val="none"/>
          <w:shd w:val="clear" w:color="auto" w:fill="FFFFFF"/>
          <w:lang w:val="en-US" w:eastAsia="zh-CN" w:bidi="ar"/>
        </w:rPr>
        <w:t>以非法占有为目的，冒用他人信用卡进行诈骗，数额较大，其行为已构成信用卡诈骗罪。</w:t>
      </w:r>
      <w:r>
        <w:rPr>
          <w:rFonts w:hint="eastAsia" w:ascii="仿宋" w:hAnsi="仿宋" w:eastAsia="仿宋" w:cs="仿宋"/>
          <w:color w:val="auto"/>
          <w:highlight w:val="none"/>
          <w:lang w:val="en-US" w:eastAsia="zh-CN"/>
        </w:rPr>
        <w:t>公诉机关对被告人犯罪的指控成立，要求适用法律条款的意见是正确的，本院依法予以采纳。经查，被告人曾因故意犯罪被判刑改造，刑罚执行完毕后五年内又故意犯罪，且应当判处有期徒刑以上刑罚，系累犯，依法应从重处罚；被告人在庭审中自愿认罪，可酌情从轻处罚；鉴于本案适用认罪认罚从宽制度及简易程序审理，依法可酌情从宽处罚。被告人犯信用卡诈骗罪应</w:t>
      </w:r>
      <w:r>
        <w:rPr>
          <w:rFonts w:hint="eastAsia" w:ascii="仿宋" w:hAnsi="仿宋" w:eastAsia="仿宋" w:cs="仿宋"/>
          <w:color w:val="auto"/>
          <w:kern w:val="0"/>
          <w:sz w:val="32"/>
          <w:szCs w:val="32"/>
          <w:highlight w:val="none"/>
          <w:shd w:val="clear" w:color="auto" w:fill="FFFFFF"/>
          <w:lang w:val="en-US" w:eastAsia="zh-CN" w:bidi="ar"/>
        </w:rPr>
        <w:t>处五年以下有期徒刑或者拘役，并处二万元以上二十万元以下罚金</w:t>
      </w:r>
      <w:r>
        <w:rPr>
          <w:rFonts w:hint="eastAsia" w:ascii="仿宋" w:hAnsi="仿宋" w:eastAsia="仿宋" w:cs="仿宋"/>
          <w:color w:val="auto"/>
          <w:highlight w:val="none"/>
          <w:lang w:val="en-US" w:eastAsia="zh-CN"/>
        </w:rPr>
        <w:t>的幅度内量刑，公诉机关综合本案的具体情况发表的以信用卡诈骗罪判处被告人信克龙有期徒刑一年二个月，并处罚金的量刑建议，本院予以</w:t>
      </w:r>
      <w:r>
        <w:rPr>
          <w:rFonts w:hint="eastAsia" w:ascii="仿宋" w:hAnsi="仿宋" w:eastAsia="仿宋" w:cs="仿宋"/>
          <w:color w:val="auto"/>
          <w:kern w:val="0"/>
          <w:sz w:val="32"/>
          <w:szCs w:val="32"/>
          <w:highlight w:val="none"/>
          <w:shd w:val="clear" w:color="auto" w:fill="FFFFFF"/>
          <w:lang w:val="en-US" w:eastAsia="zh-CN" w:bidi="ar"/>
        </w:rPr>
        <w:t>采纳</w:t>
      </w:r>
      <w:r>
        <w:rPr>
          <w:rFonts w:hint="eastAsia" w:ascii="仿宋" w:hAnsi="仿宋" w:eastAsia="仿宋" w:cs="仿宋"/>
          <w:color w:val="auto"/>
          <w:highlight w:val="none"/>
          <w:lang w:val="en-US" w:eastAsia="zh-CN"/>
        </w:rPr>
        <w:t>。</w:t>
      </w:r>
      <w:r>
        <w:rPr>
          <w:rFonts w:hint="eastAsia" w:ascii="仿宋" w:hAnsi="仿宋" w:eastAsia="仿宋" w:cs="仿宋"/>
          <w:color w:val="auto"/>
          <w:sz w:val="32"/>
          <w:highlight w:val="none"/>
        </w:rPr>
        <w:t>本院为维护社会秩序，保障公民的财产权利不受侵犯，</w:t>
      </w:r>
      <w:r>
        <w:rPr>
          <w:rFonts w:hint="eastAsia" w:ascii="仿宋" w:hAnsi="仿宋" w:eastAsia="仿宋" w:cs="仿宋"/>
          <w:color w:val="auto"/>
          <w:sz w:val="32"/>
          <w:highlight w:val="none"/>
          <w:lang w:eastAsia="zh-CN"/>
        </w:rPr>
        <w:t>打击犯罪，</w:t>
      </w:r>
      <w:r>
        <w:rPr>
          <w:rFonts w:hint="eastAsia" w:ascii="仿宋" w:hAnsi="仿宋" w:eastAsia="仿宋" w:cs="仿宋"/>
          <w:color w:val="auto"/>
          <w:kern w:val="0"/>
          <w:sz w:val="32"/>
          <w:szCs w:val="32"/>
          <w:highlight w:val="none"/>
          <w:shd w:val="clear" w:color="auto" w:fill="FFFFFF"/>
          <w:lang w:val="en-US" w:eastAsia="zh-CN" w:bidi="ar"/>
        </w:rPr>
        <w:t>依照《中华人民共和国刑法》第一百九十六条第一款第（三）项、</w:t>
      </w:r>
      <w:r>
        <w:rPr>
          <w:rFonts w:hint="eastAsia" w:ascii="仿宋" w:hAnsi="仿宋" w:eastAsia="仿宋" w:cs="仿宋"/>
          <w:color w:val="auto"/>
          <w:highlight w:val="none"/>
          <w:lang w:eastAsia="zh-CN"/>
        </w:rPr>
        <w:t>第六十五条第一款、</w:t>
      </w:r>
      <w:r>
        <w:rPr>
          <w:rFonts w:hint="eastAsia" w:ascii="仿宋" w:hAnsi="仿宋" w:eastAsia="仿宋" w:cs="仿宋"/>
          <w:color w:val="auto"/>
          <w:kern w:val="0"/>
          <w:sz w:val="32"/>
          <w:szCs w:val="32"/>
          <w:highlight w:val="none"/>
          <w:shd w:val="clear" w:color="auto" w:fill="FFFFFF"/>
          <w:lang w:val="en-US" w:eastAsia="zh-CN" w:bidi="ar"/>
        </w:rPr>
        <w:t>第六十四条之规定，判决如下：</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bookmarkStart w:id="0" w:name="PJJG"/>
      <w:bookmarkEnd w:id="0"/>
      <w:r>
        <w:rPr>
          <w:rFonts w:hint="eastAsia" w:ascii="仿宋" w:hAnsi="仿宋" w:eastAsia="仿宋" w:cs="仿宋"/>
          <w:color w:val="auto"/>
          <w:kern w:val="0"/>
          <w:sz w:val="32"/>
          <w:szCs w:val="32"/>
          <w:highlight w:val="none"/>
          <w:shd w:val="clear" w:color="auto" w:fill="FFFFFF"/>
          <w:lang w:val="en-US" w:eastAsia="zh-CN" w:bidi="ar"/>
        </w:rPr>
        <w:t>一、被告人信克龙犯信用卡诈骗罪，判处有期徒刑一年二个月，并处罚金人民币二万五千元（刑期从判决执行之日起计算，判决执行以前先行羁押的，羁押一日折抵刑期一日；罚金应于本判决生效后第二日起十日内缴纳）；</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kern w:val="0"/>
          <w:sz w:val="32"/>
          <w:szCs w:val="32"/>
          <w:highlight w:val="none"/>
          <w:shd w:val="clear" w:color="auto" w:fill="FFFFFF"/>
          <w:lang w:val="en-US" w:eastAsia="zh-CN" w:bidi="ar"/>
        </w:rPr>
      </w:pPr>
      <w:r>
        <w:rPr>
          <w:rFonts w:hint="eastAsia" w:ascii="仿宋" w:hAnsi="仿宋" w:eastAsia="仿宋" w:cs="仿宋"/>
          <w:color w:val="auto"/>
          <w:kern w:val="0"/>
          <w:sz w:val="32"/>
          <w:szCs w:val="32"/>
          <w:highlight w:val="none"/>
          <w:shd w:val="clear" w:color="auto" w:fill="FFFFFF"/>
          <w:lang w:val="en-US" w:eastAsia="zh-CN" w:bidi="ar"/>
        </w:rPr>
        <w:t>二、责令被告人信克龙退赔被害人经济损失共计人民币1,100元，于本判决生效后第二日起十日内执行；</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kern w:val="0"/>
          <w:sz w:val="32"/>
          <w:szCs w:val="32"/>
          <w:highlight w:val="none"/>
          <w:shd w:val="clear" w:color="auto" w:fill="FFFFFF"/>
          <w:lang w:val="en-US" w:eastAsia="zh-CN" w:bidi="ar"/>
        </w:rPr>
      </w:pPr>
      <w:r>
        <w:rPr>
          <w:rFonts w:hint="eastAsia" w:ascii="仿宋" w:hAnsi="仿宋" w:eastAsia="仿宋" w:cs="仿宋"/>
          <w:color w:val="auto"/>
          <w:kern w:val="0"/>
          <w:sz w:val="32"/>
          <w:szCs w:val="32"/>
          <w:highlight w:val="none"/>
          <w:shd w:val="clear" w:color="auto" w:fill="FFFFFF"/>
          <w:lang w:val="en-US" w:eastAsia="zh-CN" w:bidi="ar"/>
        </w:rPr>
        <w:t>三、随案移送的作案工具白色、华为手机一部，予以没收。</w:t>
      </w:r>
    </w:p>
    <w:p>
      <w:pPr>
        <w:pStyle w:val="24"/>
        <w:pageBreakBefore w:val="0"/>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如不服本判决，可在接到本判决书的第二日起十日内，通过本院或者直接向天津市第一中级人民法院提出上诉。书面上诉的，应提交上诉状正本一份，副本一份。</w:t>
      </w:r>
    </w:p>
    <w:p>
      <w:pPr>
        <w:pStyle w:val="30"/>
        <w:rPr>
          <w:rFonts w:hint="eastAsia" w:ascii="仿宋" w:hAnsi="仿宋" w:eastAsia="仿宋" w:cs="仿宋"/>
          <w:color w:val="auto"/>
          <w:highlight w:val="none"/>
          <w:lang w:val="en-US" w:eastAsia="zh-CN"/>
        </w:rPr>
      </w:pPr>
    </w:p>
    <w:p>
      <w:pPr>
        <w:pStyle w:val="30"/>
        <w:rPr>
          <w:rFonts w:hint="eastAsia" w:ascii="仿宋" w:hAnsi="仿宋" w:eastAsia="仿宋" w:cs="仿宋"/>
          <w:color w:val="auto"/>
          <w:highlight w:val="none"/>
          <w:lang w:val="en-US" w:eastAsia="zh-CN"/>
        </w:rPr>
      </w:pPr>
    </w:p>
    <w:p>
      <w:pPr>
        <w:pStyle w:val="30"/>
        <w:rPr>
          <w:rFonts w:hint="eastAsia" w:ascii="仿宋" w:hAnsi="仿宋" w:eastAsia="仿宋" w:cs="仿宋"/>
          <w:color w:val="auto"/>
          <w:highlight w:val="none"/>
          <w:lang w:val="en-US" w:eastAsia="zh-CN"/>
        </w:rPr>
      </w:pPr>
    </w:p>
    <w:p>
      <w:pPr>
        <w:pStyle w:val="30"/>
        <w:rPr>
          <w:rFonts w:hint="eastAsia" w:ascii="仿宋" w:hAnsi="仿宋" w:eastAsia="仿宋" w:cs="仿宋"/>
          <w:color w:val="auto"/>
          <w:highlight w:val="none"/>
          <w:lang w:val="en-US" w:eastAsia="zh-CN"/>
        </w:rPr>
      </w:pPr>
    </w:p>
    <w:p>
      <w:pPr>
        <w:pStyle w:val="30"/>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审　　判　　员　　　杨仕青</w:t>
      </w:r>
    </w:p>
    <w:p>
      <w:pPr>
        <w:pStyle w:val="29"/>
        <w:pageBreakBefore w:val="0"/>
        <w:rPr>
          <w:rFonts w:hint="eastAsia" w:ascii="仿宋" w:hAnsi="仿宋" w:eastAsia="仿宋" w:cs="仿宋"/>
          <w:color w:val="auto"/>
          <w:sz w:val="32"/>
          <w:highlight w:val="none"/>
          <w:lang w:val="en-US" w:eastAsia="zh-CN"/>
        </w:rPr>
      </w:pPr>
    </w:p>
    <w:p>
      <w:pPr>
        <w:pStyle w:val="29"/>
        <w:pageBreakBefore w:val="0"/>
        <w:rPr>
          <w:rFonts w:hint="eastAsia" w:ascii="仿宋" w:hAnsi="仿宋" w:eastAsia="仿宋" w:cs="仿宋"/>
          <w:color w:val="auto"/>
          <w:sz w:val="32"/>
          <w:highlight w:val="none"/>
          <w:lang w:val="en-US" w:eastAsia="zh-CN"/>
        </w:rPr>
      </w:pPr>
    </w:p>
    <w:p>
      <w:pPr>
        <w:pStyle w:val="29"/>
        <w:pageBreakBefore w:val="0"/>
        <w:rPr>
          <w:rFonts w:hint="eastAsia" w:ascii="仿宋" w:hAnsi="仿宋" w:eastAsia="仿宋" w:cs="仿宋"/>
          <w:color w:val="auto"/>
          <w:sz w:val="32"/>
          <w:highlight w:val="none"/>
          <w:lang w:val="en-US" w:eastAsia="zh-CN"/>
        </w:rPr>
      </w:pPr>
    </w:p>
    <w:p>
      <w:pPr>
        <w:pStyle w:val="29"/>
        <w:pageBreakBefore w:val="0"/>
        <w:rPr>
          <w:rFonts w:hint="eastAsia" w:ascii="仿宋" w:hAnsi="仿宋" w:eastAsia="仿宋" w:cs="仿宋"/>
          <w:color w:val="auto"/>
          <w:sz w:val="32"/>
          <w:highlight w:val="none"/>
          <w:lang w:val="en-US" w:eastAsia="zh-CN"/>
        </w:rPr>
      </w:pPr>
    </w:p>
    <w:p>
      <w:pPr>
        <w:pStyle w:val="29"/>
        <w:pageBreakBefore w:val="0"/>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二〇一八年六月二十五日</w:t>
      </w:r>
    </w:p>
    <w:p>
      <w:pPr>
        <w:keepNext w:val="0"/>
        <w:pageBreakBefore w:val="0"/>
        <w:rPr>
          <w:rFonts w:hint="eastAsia" w:ascii="仿宋" w:hAnsi="仿宋" w:eastAsia="仿宋" w:cs="仿宋"/>
          <w:color w:val="auto"/>
          <w:sz w:val="32"/>
          <w:highlight w:val="none"/>
          <w:lang w:val="en-US" w:eastAsia="zh-CN"/>
        </w:rPr>
      </w:pPr>
    </w:p>
    <w:p>
      <w:pPr>
        <w:pStyle w:val="32"/>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书　　记　　员　　　张　蕊</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附：本案判决依据的法律条文</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kern w:val="0"/>
          <w:sz w:val="32"/>
          <w:szCs w:val="32"/>
          <w:highlight w:val="none"/>
          <w:shd w:val="clear" w:color="auto" w:fill="FFFFFF"/>
          <w:lang w:val="en-US" w:eastAsia="zh-CN" w:bidi="ar"/>
        </w:rPr>
      </w:pPr>
      <w:r>
        <w:rPr>
          <w:rFonts w:hint="eastAsia" w:ascii="仿宋" w:hAnsi="仿宋" w:eastAsia="仿宋" w:cs="仿宋"/>
          <w:color w:val="auto"/>
          <w:kern w:val="0"/>
          <w:sz w:val="32"/>
          <w:szCs w:val="32"/>
          <w:highlight w:val="none"/>
          <w:shd w:val="clear" w:color="auto" w:fill="FFFFFF"/>
          <w:lang w:val="en-US" w:eastAsia="zh-CN" w:bidi="ar"/>
        </w:rPr>
        <w:t>《中华人民共和国刑法》</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（一）使用伪造的信用卡，或者使用以虚假的身份证明骗领的信用卡的；</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（二）使用作废的信用卡的；</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（三）冒用他人信用卡的；</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（四）恶意透支的。</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前款所称恶意透支，是指持卡人以非法占有为目的，超过规定限额或者规定期限透支，并且经发卡银行催收后仍不归还的行为。</w:t>
      </w:r>
    </w:p>
    <w:p>
      <w:pPr>
        <w:pStyle w:val="25"/>
        <w:rPr>
          <w:rFonts w:hint="eastAsia" w:ascii="仿宋" w:hAnsi="仿宋" w:eastAsia="仿宋" w:cs="仿宋"/>
          <w:color w:val="auto"/>
          <w:highlight w:val="none"/>
          <w:lang w:eastAsia="zh-CN"/>
        </w:rPr>
      </w:pPr>
      <w:r>
        <w:rPr>
          <w:rFonts w:hint="eastAsia" w:ascii="仿宋" w:hAnsi="仿宋" w:eastAsia="仿宋" w:cs="仿宋"/>
          <w:color w:val="auto"/>
          <w:highlight w:val="none"/>
          <w:lang w:eastAsia="zh-CN"/>
        </w:rPr>
        <w:t>第六十五条被判处有期徒刑以上刑罚的犯罪分子，刑罚执行完毕或者赦免以后，在五年以内再犯应当判处有期徒刑以上刑罚之罪的，是累犯，应当从重处罚，但是过失犯罪和不满十八周岁的人犯罪的除外。</w:t>
      </w:r>
    </w:p>
    <w:p>
      <w:pPr>
        <w:pStyle w:val="25"/>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前款规定的期限，对于被假释的犯罪分子，从假释期满之日起计算。</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keepNext w:val="0"/>
        <w:keepLines w:val="0"/>
        <w:pageBreakBefore w:val="0"/>
        <w:kinsoku/>
        <w:wordWrap/>
        <w:overflowPunct/>
        <w:topLinePunct w:val="0"/>
        <w:autoSpaceDE/>
        <w:autoSpaceDN/>
        <w:bidi w:val="0"/>
        <w:adjustRightInd/>
        <w:snapToGrid/>
        <w:spacing w:line="560" w:lineRule="exact"/>
        <w:ind w:right="0" w:rightChars="0"/>
        <w:textAlignment w:val="auto"/>
        <w:outlineLvl w:val="9"/>
        <w:rPr>
          <w:rFonts w:hint="eastAsia"/>
          <w:color w:val="auto"/>
          <w:highlight w:val="none"/>
          <w:lang w:val="en-US" w:eastAsia="zh-CN"/>
        </w:rPr>
      </w:pPr>
    </w:p>
    <w:sectPr>
      <w:footerReference r:id="rId5" w:type="first"/>
      <w:footerReference r:id="rId3" w:type="default"/>
      <w:footerReference r:id="rId4" w:type="even"/>
      <w:pgSz w:w="11906" w:h="16838"/>
      <w:pgMar w:top="2040" w:right="1530" w:bottom="2040" w:left="1530" w:header="794" w:footer="1644" w:gutter="0"/>
      <w:pgNumType w:fmt="numberInDash" w:start="1"/>
      <w:cols w:space="720" w:num="1"/>
      <w:titlePg/>
      <w:rtlGutter w:val="0"/>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方正小标宋_GBK">
    <w:altName w:val="微软雅黑"/>
    <w:panose1 w:val="00000000000000000000"/>
    <w:charset w:val="00"/>
    <w:family w:val="auto"/>
    <w:pitch w:val="default"/>
    <w:sig w:usb0="00000000" w:usb1="00000000" w:usb2="00000000" w:usb3="00000000" w:csb0="00040001" w:csb1="00000000"/>
  </w:font>
  <w:font w:name="方正小标宋简体">
    <w:altName w:val="Arial Unicode MS"/>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pBdr>
      <w:spacing w:after="0"/>
      <w:ind w:leftChars="0" w:right="360" w:rightChars="0" w:firstLine="360" w:firstLineChars="0"/>
      <w:jc w:val="left"/>
      <w:rPr>
        <w:rFonts w:hint="eastAsia" w:ascii="宋体" w:hAnsi="宋体" w:eastAsia="宋体" w:cs="宋体"/>
        <w:b w:val="0"/>
        <w:sz w:val="28"/>
        <w:lang w:eastAsia="zh-CN"/>
      </w:rPr>
    </w:pPr>
    <w:r>
      <w:rPr>
        <w:sz w:val="28"/>
      </w:rPr>
      <w:pict>
        <v:shape id="_x0000_s4098" o:spid="_x0000_s4098"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- 3 -</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pBdr>
      <w:spacing w:after="0"/>
      <w:ind w:leftChars="0" w:right="360" w:rightChars="0" w:firstLine="360" w:firstLineChars="0"/>
      <w:jc w:val="left"/>
      <w:rPr>
        <w:rFonts w:hint="eastAsia" w:ascii="宋体" w:hAnsi="宋体" w:eastAsia="宋体" w:cs="宋体"/>
        <w:b w:val="0"/>
        <w:sz w:val="28"/>
        <w:lang w:eastAsia="zh-CN"/>
      </w:rPr>
    </w:pPr>
    <w:r>
      <w:rPr>
        <w:sz w:val="28"/>
      </w:rPr>
      <w:pict>
        <v:shape id="_x0000_s4099" o:spid="_x0000_s409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- 2 -</w:t>
                </w:r>
                <w:r>
                  <w:rPr>
                    <w:rFonts w:hint="eastAsia"/>
                    <w:sz w:val="18"/>
                    <w:lang w:eastAsia="zh-CN"/>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lang w:eastAsia="zh-CN"/>
      </w:rPr>
    </w:pPr>
    <w:r>
      <w:rPr>
        <w:sz w:val="32"/>
      </w:rP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- 1 -</w:t>
                </w:r>
                <w:r>
                  <w:rPr>
                    <w:rFonts w:hint="eastAsia"/>
                    <w:sz w:val="1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5B30404A0000890D" w:val=" "/>
  </w:docVars>
  <w:rsids>
    <w:rsidRoot w:val="00000000"/>
    <w:rsid w:val="033C7CCB"/>
    <w:rsid w:val="06B94BD7"/>
    <w:rsid w:val="103D04B3"/>
    <w:rsid w:val="11740279"/>
    <w:rsid w:val="1269050F"/>
    <w:rsid w:val="19213343"/>
    <w:rsid w:val="19BE6E56"/>
    <w:rsid w:val="1D8A2694"/>
    <w:rsid w:val="1E497D64"/>
    <w:rsid w:val="1F1C4CE2"/>
    <w:rsid w:val="1FAE5800"/>
    <w:rsid w:val="209E63EE"/>
    <w:rsid w:val="2C3835AE"/>
    <w:rsid w:val="2C7F41BE"/>
    <w:rsid w:val="36993286"/>
    <w:rsid w:val="36AC1599"/>
    <w:rsid w:val="3B4A77B4"/>
    <w:rsid w:val="3BCD1841"/>
    <w:rsid w:val="3CBA6D2B"/>
    <w:rsid w:val="3F74574A"/>
    <w:rsid w:val="40191918"/>
    <w:rsid w:val="49C03AF1"/>
    <w:rsid w:val="4A00245F"/>
    <w:rsid w:val="4D36375B"/>
    <w:rsid w:val="53133958"/>
    <w:rsid w:val="53B14CC1"/>
    <w:rsid w:val="53E76135"/>
    <w:rsid w:val="5F544161"/>
    <w:rsid w:val="635A5C11"/>
    <w:rsid w:val="6BE0253F"/>
    <w:rsid w:val="6F8F583F"/>
    <w:rsid w:val="72052450"/>
    <w:rsid w:val="78E21422"/>
    <w:rsid w:val="797A69CA"/>
    <w:rsid w:val="79A03600"/>
    <w:rsid w:val="7A0E67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5">
    <w:name w:val="Default Paragraph Font"/>
    <w:link w:val="6"/>
    <w:semiHidden/>
    <w:qFormat/>
    <w:uiPriority w:val="0"/>
    <w:rPr>
      <w:rFonts w:ascii="Verdana" w:hAnsi="Verdana" w:eastAsia="仿宋_GB2312"/>
      <w:kern w:val="0"/>
      <w:sz w:val="24"/>
      <w:szCs w:val="20"/>
      <w:lang w:eastAsia="en-US"/>
    </w:rPr>
  </w:style>
  <w:style w:type="table" w:default="1" w:styleId="19">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har"/>
    <w:basedOn w:val="1"/>
    <w:link w:val="5"/>
    <w:qFormat/>
    <w:uiPriority w:val="0"/>
    <w:pPr>
      <w:widowControl/>
      <w:spacing w:after="160" w:line="240" w:lineRule="exact"/>
      <w:jc w:val="left"/>
    </w:pPr>
    <w:rPr>
      <w:rFonts w:ascii="Verdana" w:hAnsi="Verdana" w:eastAsia="仿宋_GB2312"/>
      <w:kern w:val="0"/>
      <w:sz w:val="24"/>
      <w:szCs w:val="20"/>
      <w:lang w:eastAsia="en-US"/>
    </w:rPr>
  </w:style>
  <w:style w:type="character" w:styleId="7">
    <w:name w:val="Strong"/>
    <w:basedOn w:val="5"/>
    <w:qFormat/>
    <w:uiPriority w:val="0"/>
    <w:rPr>
      <w:b/>
    </w:rPr>
  </w:style>
  <w:style w:type="character" w:styleId="8">
    <w:name w:val="page number"/>
    <w:basedOn w:val="5"/>
    <w:uiPriority w:val="0"/>
  </w:style>
  <w:style w:type="character" w:styleId="9">
    <w:name w:val="FollowedHyperlink"/>
    <w:basedOn w:val="5"/>
    <w:uiPriority w:val="0"/>
    <w:rPr>
      <w:color w:val="000000"/>
      <w:u w:val="none"/>
    </w:rPr>
  </w:style>
  <w:style w:type="character" w:styleId="10">
    <w:name w:val="Emphasis"/>
    <w:basedOn w:val="5"/>
    <w:qFormat/>
    <w:uiPriority w:val="0"/>
  </w:style>
  <w:style w:type="character" w:styleId="11">
    <w:name w:val="HTML Definition"/>
    <w:basedOn w:val="5"/>
    <w:uiPriority w:val="0"/>
  </w:style>
  <w:style w:type="character" w:styleId="12">
    <w:name w:val="HTML Acronym"/>
    <w:basedOn w:val="5"/>
    <w:uiPriority w:val="0"/>
    <w:rPr>
      <w:caps/>
      <w:spacing w:val="21"/>
      <w:sz w:val="20"/>
      <w:szCs w:val="20"/>
    </w:rPr>
  </w:style>
  <w:style w:type="character" w:styleId="13">
    <w:name w:val="HTML Variable"/>
    <w:basedOn w:val="5"/>
    <w:uiPriority w:val="0"/>
  </w:style>
  <w:style w:type="character" w:styleId="14">
    <w:name w:val="Hyperlink"/>
    <w:basedOn w:val="5"/>
    <w:qFormat/>
    <w:uiPriority w:val="0"/>
    <w:rPr>
      <w:color w:val="000000"/>
      <w:u w:val="none"/>
    </w:rPr>
  </w:style>
  <w:style w:type="character" w:styleId="15">
    <w:name w:val="HTML Code"/>
    <w:basedOn w:val="5"/>
    <w:uiPriority w:val="0"/>
    <w:rPr>
      <w:rFonts w:ascii="Courier New" w:hAnsi="Courier New"/>
      <w:color w:val="CC3333"/>
      <w:sz w:val="20"/>
    </w:rPr>
  </w:style>
  <w:style w:type="character" w:styleId="16">
    <w:name w:val="HTML Cite"/>
    <w:basedOn w:val="5"/>
    <w:uiPriority w:val="0"/>
  </w:style>
  <w:style w:type="character" w:styleId="17">
    <w:name w:val="HTML Keyboard"/>
    <w:basedOn w:val="5"/>
    <w:uiPriority w:val="0"/>
    <w:rPr>
      <w:rFonts w:hint="default" w:ascii="Courier New" w:hAnsi="Courier New" w:eastAsia="Courier New" w:cs="Courier New"/>
      <w:sz w:val="20"/>
    </w:rPr>
  </w:style>
  <w:style w:type="character" w:styleId="18">
    <w:name w:val="HTML Sample"/>
    <w:basedOn w:val="5"/>
    <w:qFormat/>
    <w:uiPriority w:val="0"/>
    <w:rPr>
      <w:rFonts w:hint="default" w:ascii="Courier New" w:hAnsi="Courier New" w:eastAsia="Courier New" w:cs="Courier New"/>
    </w:rPr>
  </w:style>
  <w:style w:type="paragraph" w:customStyle="1" w:styleId="20">
    <w:name w:val="lawyeeWritContent1"/>
    <w:basedOn w:val="1"/>
    <w:qFormat/>
    <w:uiPriority w:val="0"/>
    <w:pPr>
      <w:ind w:firstLine="632" w:firstLineChars="200"/>
    </w:pPr>
    <w:rPr>
      <w:rFonts w:hint="eastAsia" w:ascii="仿宋_GB2312" w:hAnsi="仿宋_GB2312" w:cs="仿宋_GB2312"/>
    </w:rPr>
  </w:style>
  <w:style w:type="paragraph" w:customStyle="1" w:styleId="21">
    <w:name w:val="lawyeeWritName1"/>
    <w:basedOn w:val="1"/>
    <w:qFormat/>
    <w:uiPriority w:val="0"/>
    <w:pPr>
      <w:spacing w:line="720" w:lineRule="exact"/>
      <w:jc w:val="center"/>
    </w:pPr>
    <w:rPr>
      <w:rFonts w:hint="eastAsia" w:ascii="方正小标宋_GBK" w:hAnsi="方正小标宋_GBK" w:eastAsia="方正小标宋_GBK" w:cs="方正小标宋_GBK"/>
      <w:sz w:val="44"/>
    </w:rPr>
  </w:style>
  <w:style w:type="paragraph" w:customStyle="1" w:styleId="22">
    <w:name w:val="lawyeeCaseNum1"/>
    <w:basedOn w:val="1"/>
    <w:uiPriority w:val="0"/>
    <w:pPr>
      <w:ind w:right="632" w:rightChars="200"/>
      <w:jc w:val="right"/>
    </w:pPr>
    <w:rPr>
      <w:rFonts w:hint="eastAsia" w:ascii="仿宋_GB2312" w:hAnsi="仿宋_GB2312" w:cs="仿宋_GB2312"/>
    </w:rPr>
  </w:style>
  <w:style w:type="paragraph" w:customStyle="1" w:styleId="23">
    <w:name w:val="lawyeeAttachContent2"/>
    <w:basedOn w:val="1"/>
    <w:uiPriority w:val="0"/>
    <w:pPr>
      <w:spacing w:line="520" w:lineRule="exact"/>
      <w:ind w:firstLine="632" w:firstLineChars="200"/>
      <w:jc w:val="left"/>
    </w:pPr>
    <w:rPr>
      <w:rFonts w:hint="eastAsia" w:ascii="仿宋_GB2312" w:hAnsi="仿宋_GB2312" w:cs="仿宋_GB2312"/>
    </w:rPr>
  </w:style>
  <w:style w:type="paragraph" w:customStyle="1" w:styleId="24">
    <w:name w:val="lawyeeWritContent2"/>
    <w:basedOn w:val="1"/>
    <w:uiPriority w:val="0"/>
    <w:pPr>
      <w:ind w:firstLine="632" w:firstLineChars="200"/>
    </w:pPr>
    <w:rPr>
      <w:rFonts w:hint="eastAsia" w:ascii="仿宋_GB2312" w:hAnsi="仿宋_GB2312" w:cs="仿宋_GB2312"/>
    </w:rPr>
  </w:style>
  <w:style w:type="paragraph" w:customStyle="1" w:styleId="25">
    <w:name w:val="lawyeeAttachContent0"/>
    <w:basedOn w:val="1"/>
    <w:qFormat/>
    <w:uiPriority w:val="0"/>
    <w:pPr>
      <w:spacing w:line="520" w:lineRule="exact"/>
      <w:ind w:firstLine="632" w:firstLineChars="200"/>
      <w:jc w:val="left"/>
    </w:pPr>
    <w:rPr>
      <w:rFonts w:hint="eastAsia" w:ascii="仿宋_GB2312" w:hAnsi="仿宋_GB2312" w:cs="仿宋_GB2312"/>
    </w:rPr>
  </w:style>
  <w:style w:type="paragraph" w:customStyle="1" w:styleId="26">
    <w:name w:val="lawyeeAttach1"/>
    <w:basedOn w:val="1"/>
    <w:uiPriority w:val="0"/>
    <w:pPr>
      <w:spacing w:line="520" w:lineRule="exact"/>
      <w:ind w:firstLine="632" w:firstLineChars="200"/>
      <w:jc w:val="left"/>
    </w:pPr>
    <w:rPr>
      <w:rFonts w:hint="eastAsia" w:ascii="仿宋_GB2312" w:hAnsi="仿宋_GB2312" w:cs="仿宋_GB2312"/>
    </w:rPr>
  </w:style>
  <w:style w:type="paragraph" w:customStyle="1" w:styleId="27">
    <w:name w:val="lawyeeWritContent0"/>
    <w:basedOn w:val="1"/>
    <w:qFormat/>
    <w:uiPriority w:val="0"/>
    <w:pPr>
      <w:ind w:firstLine="632" w:firstLineChars="200"/>
    </w:pPr>
    <w:rPr>
      <w:rFonts w:hint="eastAsia" w:ascii="仿宋_GB2312" w:hAnsi="仿宋_GB2312" w:cs="仿宋_GB2312"/>
    </w:rPr>
  </w:style>
  <w:style w:type="paragraph" w:customStyle="1" w:styleId="28">
    <w:name w:val="lawyeeAttachContent1"/>
    <w:basedOn w:val="1"/>
    <w:qFormat/>
    <w:uiPriority w:val="0"/>
    <w:pPr>
      <w:spacing w:line="520" w:lineRule="exact"/>
      <w:ind w:firstLine="632" w:firstLineChars="200"/>
      <w:jc w:val="left"/>
    </w:pPr>
    <w:rPr>
      <w:rFonts w:hint="eastAsia" w:ascii="仿宋_GB2312" w:hAnsi="仿宋_GB2312" w:cs="仿宋_GB2312"/>
    </w:rPr>
  </w:style>
  <w:style w:type="paragraph" w:customStyle="1" w:styleId="29">
    <w:name w:val="lawyeeDate1"/>
    <w:basedOn w:val="1"/>
    <w:qFormat/>
    <w:uiPriority w:val="0"/>
    <w:pPr>
      <w:ind w:right="632" w:rightChars="200"/>
      <w:jc w:val="right"/>
    </w:pPr>
    <w:rPr>
      <w:rFonts w:hint="eastAsia" w:ascii="仿宋_GB2312" w:hAnsi="仿宋_GB2312" w:cs="仿宋_GB2312"/>
    </w:rPr>
  </w:style>
  <w:style w:type="paragraph" w:customStyle="1" w:styleId="30">
    <w:name w:val="lawyeeJudge1"/>
    <w:basedOn w:val="1"/>
    <w:qFormat/>
    <w:uiPriority w:val="0"/>
    <w:pPr>
      <w:spacing w:line="520" w:lineRule="exact"/>
      <w:ind w:right="632" w:rightChars="200"/>
      <w:jc w:val="right"/>
    </w:pPr>
    <w:rPr>
      <w:rFonts w:hint="eastAsia" w:ascii="仿宋_GB2312" w:hAnsi="仿宋_GB2312" w:cs="仿宋_GB2312"/>
    </w:rPr>
  </w:style>
  <w:style w:type="paragraph" w:customStyle="1" w:styleId="31">
    <w:name w:val="lawyeeCourtName1"/>
    <w:basedOn w:val="1"/>
    <w:qFormat/>
    <w:uiPriority w:val="0"/>
    <w:pPr>
      <w:spacing w:line="720" w:lineRule="exact"/>
      <w:jc w:val="center"/>
    </w:pPr>
    <w:rPr>
      <w:rFonts w:hint="eastAsia" w:ascii="方正小标宋_GBK" w:hAnsi="方正小标宋_GBK" w:eastAsia="方正小标宋_GBK" w:cs="方正小标宋_GBK"/>
      <w:sz w:val="44"/>
    </w:rPr>
  </w:style>
  <w:style w:type="paragraph" w:customStyle="1" w:styleId="32">
    <w:name w:val="lawyeeJudge2"/>
    <w:basedOn w:val="1"/>
    <w:uiPriority w:val="0"/>
    <w:pPr>
      <w:spacing w:line="520" w:lineRule="exact"/>
      <w:ind w:right="632" w:rightChars="200"/>
      <w:jc w:val="right"/>
    </w:pPr>
    <w:rPr>
      <w:rFonts w:hint="eastAsia" w:ascii="仿宋_GB2312" w:hAnsi="仿宋_GB2312" w:cs="仿宋_GB2312"/>
    </w:rPr>
  </w:style>
  <w:style w:type="character" w:customStyle="1" w:styleId="33">
    <w:name w:val="ins-icon3"/>
    <w:basedOn w:val="5"/>
    <w:qFormat/>
    <w:uiPriority w:val="0"/>
  </w:style>
  <w:style w:type="character" w:customStyle="1" w:styleId="34">
    <w:name w:val="organ-r"/>
    <w:basedOn w:val="5"/>
    <w:qFormat/>
    <w:uiPriority w:val="0"/>
  </w:style>
  <w:style w:type="character" w:customStyle="1" w:styleId="35">
    <w:name w:val="ui-checkbox42"/>
    <w:basedOn w:val="5"/>
    <w:qFormat/>
    <w:uiPriority w:val="0"/>
  </w:style>
  <w:style w:type="character" w:customStyle="1" w:styleId="36">
    <w:name w:val="court-r"/>
    <w:basedOn w:val="5"/>
    <w:qFormat/>
    <w:uiPriority w:val="0"/>
  </w:style>
  <w:style w:type="character" w:customStyle="1" w:styleId="37">
    <w:name w:val="label2"/>
    <w:basedOn w:val="5"/>
    <w:qFormat/>
    <w:uiPriority w:val="0"/>
    <w:rPr>
      <w:color w:val="666666"/>
    </w:rPr>
  </w:style>
  <w:style w:type="character" w:customStyle="1" w:styleId="38">
    <w:name w:val="up-button2"/>
    <w:basedOn w:val="5"/>
    <w:qFormat/>
    <w:uiPriority w:val="0"/>
  </w:style>
  <w:style w:type="character" w:customStyle="1" w:styleId="39">
    <w:name w:val="no-tip2"/>
    <w:basedOn w:val="5"/>
    <w:qFormat/>
    <w:uiPriority w:val="0"/>
  </w:style>
  <w:style w:type="character" w:customStyle="1" w:styleId="40">
    <w:name w:val="ui-checkbox47"/>
    <w:basedOn w:val="5"/>
    <w:qFormat/>
    <w:uiPriority w:val="0"/>
  </w:style>
  <w:style w:type="character" w:customStyle="1" w:styleId="41">
    <w:name w:val="val"/>
    <w:basedOn w:val="5"/>
    <w:qFormat/>
    <w:uiPriority w:val="0"/>
  </w:style>
  <w:style w:type="character" w:customStyle="1" w:styleId="42">
    <w:name w:val="ins-icon6"/>
    <w:basedOn w:val="5"/>
    <w:qFormat/>
    <w:uiPriority w:val="0"/>
  </w:style>
  <w:style w:type="character" w:customStyle="1" w:styleId="43">
    <w:name w:val="no-tip3"/>
    <w:basedOn w:val="5"/>
    <w:qFormat/>
    <w:uiPriority w:val="0"/>
  </w:style>
  <w:style w:type="character" w:customStyle="1" w:styleId="44">
    <w:name w:val="fg-icon"/>
    <w:basedOn w:val="5"/>
    <w:qFormat/>
    <w:uiPriority w:val="0"/>
  </w:style>
  <w:style w:type="character" w:customStyle="1" w:styleId="45">
    <w:name w:val="folder"/>
    <w:basedOn w:val="5"/>
    <w:qFormat/>
    <w:uiPriority w:val="0"/>
  </w:style>
  <w:style w:type="character" w:customStyle="1" w:styleId="46">
    <w:name w:val="ui-checkbox46"/>
    <w:basedOn w:val="5"/>
    <w:qFormat/>
    <w:uiPriority w:val="0"/>
  </w:style>
  <w:style w:type="character" w:customStyle="1" w:styleId="47">
    <w:name w:val="padding-l"/>
    <w:basedOn w:val="5"/>
    <w:qFormat/>
    <w:uiPriority w:val="0"/>
  </w:style>
  <w:style w:type="character" w:customStyle="1" w:styleId="48">
    <w:name w:val="court-l"/>
    <w:basedOn w:val="5"/>
    <w:qFormat/>
    <w:uiPriority w:val="0"/>
  </w:style>
  <w:style w:type="character" w:customStyle="1" w:styleId="49">
    <w:name w:val="ls-icon1"/>
    <w:basedOn w:val="5"/>
    <w:qFormat/>
    <w:uiPriority w:val="0"/>
  </w:style>
  <w:style w:type="character" w:customStyle="1" w:styleId="50">
    <w:name w:val="ui-radio-state-hover"/>
    <w:basedOn w:val="5"/>
    <w:qFormat/>
    <w:uiPriority w:val="0"/>
  </w:style>
  <w:style w:type="character" w:customStyle="1" w:styleId="51">
    <w:name w:val="ui-checkbox36"/>
    <w:basedOn w:val="5"/>
    <w:qFormat/>
    <w:uiPriority w:val="0"/>
  </w:style>
  <w:style w:type="character" w:customStyle="1" w:styleId="52">
    <w:name w:val="ui-checked-undetermined"/>
    <w:basedOn w:val="5"/>
    <w:qFormat/>
    <w:uiPriority w:val="0"/>
  </w:style>
  <w:style w:type="character" w:customStyle="1" w:styleId="53">
    <w:name w:val="ui-checkbox-state-checked"/>
    <w:basedOn w:val="5"/>
    <w:qFormat/>
    <w:uiPriority w:val="0"/>
  </w:style>
  <w:style w:type="character" w:customStyle="1" w:styleId="54">
    <w:name w:val="pizhu-button1"/>
    <w:basedOn w:val="5"/>
    <w:qFormat/>
    <w:uiPriority w:val="0"/>
  </w:style>
  <w:style w:type="character" w:customStyle="1" w:styleId="55">
    <w:name w:val="ls-icon"/>
    <w:basedOn w:val="5"/>
    <w:uiPriority w:val="0"/>
  </w:style>
  <w:style w:type="character" w:customStyle="1" w:styleId="56">
    <w:name w:val="previous_page1"/>
    <w:basedOn w:val="5"/>
    <w:uiPriority w:val="0"/>
  </w:style>
  <w:style w:type="character" w:customStyle="1" w:styleId="57">
    <w:name w:val="ui-checkbox41"/>
    <w:basedOn w:val="5"/>
    <w:qFormat/>
    <w:uiPriority w:val="0"/>
  </w:style>
  <w:style w:type="character" w:customStyle="1" w:styleId="58">
    <w:name w:val="txt-content"/>
    <w:basedOn w:val="5"/>
    <w:qFormat/>
    <w:uiPriority w:val="0"/>
    <w:rPr>
      <w:color w:val="999999"/>
    </w:rPr>
  </w:style>
  <w:style w:type="character" w:customStyle="1" w:styleId="59">
    <w:name w:val="ins-icon"/>
    <w:basedOn w:val="5"/>
    <w:uiPriority w:val="0"/>
  </w:style>
  <w:style w:type="character" w:customStyle="1" w:styleId="60">
    <w:name w:val="hand3"/>
    <w:basedOn w:val="5"/>
    <w:qFormat/>
    <w:uiPriority w:val="0"/>
  </w:style>
  <w:style w:type="character" w:customStyle="1" w:styleId="61">
    <w:name w:val="up"/>
    <w:basedOn w:val="5"/>
    <w:uiPriority w:val="0"/>
  </w:style>
  <w:style w:type="character" w:customStyle="1" w:styleId="62">
    <w:name w:val="item-selected"/>
    <w:basedOn w:val="5"/>
    <w:qFormat/>
    <w:uiPriority w:val="0"/>
    <w:rPr>
      <w:shd w:val="clear" w:color="auto" w:fill="E2EAFF"/>
    </w:rPr>
  </w:style>
  <w:style w:type="character" w:customStyle="1" w:styleId="63">
    <w:name w:val="ui-checkbox-state-hover1"/>
    <w:basedOn w:val="5"/>
    <w:qFormat/>
    <w:uiPriority w:val="0"/>
  </w:style>
  <w:style w:type="character" w:customStyle="1" w:styleId="64">
    <w:name w:val="ui-checkbox-state-checked-no2"/>
    <w:basedOn w:val="5"/>
    <w:qFormat/>
    <w:uiPriority w:val="0"/>
  </w:style>
  <w:style w:type="character" w:customStyle="1" w:styleId="65">
    <w:name w:val="ui-checkbox48"/>
    <w:basedOn w:val="5"/>
    <w:qFormat/>
    <w:uiPriority w:val="0"/>
  </w:style>
  <w:style w:type="character" w:customStyle="1" w:styleId="66">
    <w:name w:val="ui-checkbox49"/>
    <w:basedOn w:val="5"/>
    <w:qFormat/>
    <w:uiPriority w:val="0"/>
  </w:style>
  <w:style w:type="character" w:customStyle="1" w:styleId="67">
    <w:name w:val="more6"/>
    <w:basedOn w:val="5"/>
    <w:qFormat/>
    <w:uiPriority w:val="0"/>
  </w:style>
  <w:style w:type="character" w:customStyle="1" w:styleId="68">
    <w:name w:val="ui-checkbox-state-hover"/>
    <w:basedOn w:val="5"/>
    <w:qFormat/>
    <w:uiPriority w:val="0"/>
  </w:style>
  <w:style w:type="character" w:customStyle="1" w:styleId="69">
    <w:name w:val="file"/>
    <w:basedOn w:val="5"/>
    <w:qFormat/>
    <w:uiPriority w:val="0"/>
  </w:style>
  <w:style w:type="character" w:customStyle="1" w:styleId="70">
    <w:name w:val="error-icon-new2"/>
    <w:basedOn w:val="5"/>
    <w:qFormat/>
    <w:uiPriority w:val="0"/>
  </w:style>
  <w:style w:type="character" w:customStyle="1" w:styleId="71">
    <w:name w:val="folder1"/>
    <w:basedOn w:val="5"/>
    <w:qFormat/>
    <w:uiPriority w:val="0"/>
  </w:style>
  <w:style w:type="character" w:customStyle="1" w:styleId="72">
    <w:name w:val="val-txt"/>
    <w:basedOn w:val="5"/>
    <w:uiPriority w:val="0"/>
  </w:style>
  <w:style w:type="character" w:customStyle="1" w:styleId="73">
    <w:name w:val="ui-radio1"/>
    <w:basedOn w:val="5"/>
    <w:uiPriority w:val="0"/>
  </w:style>
  <w:style w:type="character" w:customStyle="1" w:styleId="74">
    <w:name w:val="next_page4"/>
    <w:basedOn w:val="5"/>
    <w:qFormat/>
    <w:uiPriority w:val="0"/>
  </w:style>
  <w:style w:type="character" w:customStyle="1" w:styleId="75">
    <w:name w:val="val1"/>
    <w:basedOn w:val="5"/>
    <w:qFormat/>
    <w:uiPriority w:val="0"/>
  </w:style>
  <w:style w:type="character" w:customStyle="1" w:styleId="76">
    <w:name w:val="ui-radio-state-hover1"/>
    <w:basedOn w:val="5"/>
    <w:qFormat/>
    <w:uiPriority w:val="0"/>
  </w:style>
  <w:style w:type="character" w:customStyle="1" w:styleId="77">
    <w:name w:val="next-button2"/>
    <w:basedOn w:val="5"/>
    <w:qFormat/>
    <w:uiPriority w:val="0"/>
  </w:style>
  <w:style w:type="character" w:customStyle="1" w:styleId="78">
    <w:name w:val="ins-icon1"/>
    <w:basedOn w:val="5"/>
    <w:qFormat/>
    <w:uiPriority w:val="0"/>
  </w:style>
  <w:style w:type="character" w:customStyle="1" w:styleId="79">
    <w:name w:val="ui-checkbox40"/>
    <w:basedOn w:val="5"/>
    <w:qFormat/>
    <w:uiPriority w:val="0"/>
  </w:style>
  <w:style w:type="character" w:customStyle="1" w:styleId="80">
    <w:name w:val="toc-node-number"/>
    <w:basedOn w:val="5"/>
    <w:qFormat/>
    <w:uiPriority w:val="0"/>
    <w:rPr>
      <w:vanish/>
    </w:rPr>
  </w:style>
  <w:style w:type="character" w:customStyle="1" w:styleId="81">
    <w:name w:val="padding-l1"/>
    <w:basedOn w:val="5"/>
    <w:qFormat/>
    <w:uiPriority w:val="0"/>
  </w:style>
  <w:style w:type="character" w:customStyle="1" w:styleId="82">
    <w:name w:val="error-icon12"/>
    <w:basedOn w:val="5"/>
    <w:qFormat/>
    <w:uiPriority w:val="0"/>
  </w:style>
  <w:style w:type="character" w:customStyle="1" w:styleId="83">
    <w:name w:val="left-span"/>
    <w:basedOn w:val="5"/>
    <w:qFormat/>
    <w:uiPriority w:val="0"/>
  </w:style>
  <w:style w:type="character" w:customStyle="1" w:styleId="84">
    <w:name w:val="ins-icon2"/>
    <w:basedOn w:val="5"/>
    <w:qFormat/>
    <w:uiPriority w:val="0"/>
  </w:style>
  <w:style w:type="character" w:customStyle="1" w:styleId="85">
    <w:name w:val="ui-checkbox34"/>
    <w:basedOn w:val="5"/>
    <w:qFormat/>
    <w:uiPriority w:val="0"/>
  </w:style>
  <w:style w:type="character" w:customStyle="1" w:styleId="86">
    <w:name w:val="pizhu-button"/>
    <w:basedOn w:val="5"/>
    <w:qFormat/>
    <w:uiPriority w:val="0"/>
  </w:style>
  <w:style w:type="character" w:customStyle="1" w:styleId="87">
    <w:name w:val="ui-checkbox43"/>
    <w:basedOn w:val="5"/>
    <w:uiPriority w:val="0"/>
  </w:style>
  <w:style w:type="character" w:customStyle="1" w:styleId="88">
    <w:name w:val="ui-checkbox-state-checked-hover"/>
    <w:basedOn w:val="5"/>
    <w:qFormat/>
    <w:uiPriority w:val="0"/>
  </w:style>
  <w:style w:type="character" w:customStyle="1" w:styleId="89">
    <w:name w:val="ui-radio-state-checked-hover1"/>
    <w:basedOn w:val="5"/>
    <w:qFormat/>
    <w:uiPriority w:val="0"/>
  </w:style>
  <w:style w:type="character" w:customStyle="1" w:styleId="90">
    <w:name w:val="selected23"/>
    <w:basedOn w:val="5"/>
    <w:qFormat/>
    <w:uiPriority w:val="0"/>
    <w:rPr>
      <w:color w:val="3290EC"/>
      <w:sz w:val="21"/>
      <w:szCs w:val="21"/>
    </w:rPr>
  </w:style>
  <w:style w:type="character" w:customStyle="1" w:styleId="91">
    <w:name w:val="ui-radio3"/>
    <w:basedOn w:val="5"/>
    <w:qFormat/>
    <w:uiPriority w:val="0"/>
  </w:style>
  <w:style w:type="character" w:customStyle="1" w:styleId="92">
    <w:name w:val="ui-checkbox44"/>
    <w:basedOn w:val="5"/>
    <w:qFormat/>
    <w:uiPriority w:val="0"/>
  </w:style>
  <w:style w:type="character" w:customStyle="1" w:styleId="93">
    <w:name w:val="ui-checkbox35"/>
    <w:basedOn w:val="5"/>
    <w:qFormat/>
    <w:uiPriority w:val="0"/>
  </w:style>
  <w:style w:type="character" w:customStyle="1" w:styleId="94">
    <w:name w:val="ins-icon4"/>
    <w:basedOn w:val="5"/>
    <w:qFormat/>
    <w:uiPriority w:val="0"/>
  </w:style>
  <w:style w:type="character" w:customStyle="1" w:styleId="95">
    <w:name w:val="ins-icon5"/>
    <w:basedOn w:val="5"/>
    <w:qFormat/>
    <w:uiPriority w:val="0"/>
  </w:style>
  <w:style w:type="character" w:customStyle="1" w:styleId="96">
    <w:name w:val="current"/>
    <w:basedOn w:val="5"/>
    <w:qFormat/>
    <w:uiPriority w:val="0"/>
    <w:rPr>
      <w:b/>
      <w:color w:val="2D8DEB"/>
    </w:rPr>
  </w:style>
  <w:style w:type="character" w:customStyle="1" w:styleId="97">
    <w:name w:val="ui-radio2"/>
    <w:basedOn w:val="5"/>
    <w:qFormat/>
    <w:uiPriority w:val="0"/>
  </w:style>
  <w:style w:type="character" w:customStyle="1" w:styleId="98">
    <w:name w:val="user-icon"/>
    <w:basedOn w:val="5"/>
    <w:qFormat/>
    <w:uiPriority w:val="0"/>
  </w:style>
  <w:style w:type="character" w:customStyle="1" w:styleId="99">
    <w:name w:val="hand2"/>
    <w:basedOn w:val="5"/>
    <w:qFormat/>
    <w:uiPriority w:val="0"/>
  </w:style>
  <w:style w:type="character" w:customStyle="1" w:styleId="100">
    <w:name w:val="no-next-button"/>
    <w:basedOn w:val="5"/>
    <w:qFormat/>
    <w:uiPriority w:val="0"/>
  </w:style>
  <w:style w:type="character" w:customStyle="1" w:styleId="101">
    <w:name w:val="no-up-button"/>
    <w:basedOn w:val="5"/>
    <w:qFormat/>
    <w:uiPriority w:val="0"/>
  </w:style>
  <w:style w:type="character" w:customStyle="1" w:styleId="102">
    <w:name w:val="ui-checkbox37"/>
    <w:basedOn w:val="5"/>
    <w:qFormat/>
    <w:uiPriority w:val="0"/>
  </w:style>
  <w:style w:type="character" w:customStyle="1" w:styleId="103">
    <w:name w:val="close-x"/>
    <w:basedOn w:val="5"/>
    <w:qFormat/>
    <w:uiPriority w:val="0"/>
  </w:style>
  <w:style w:type="character" w:customStyle="1" w:styleId="104">
    <w:name w:val="more-link"/>
    <w:basedOn w:val="5"/>
    <w:qFormat/>
    <w:uiPriority w:val="0"/>
    <w:rPr>
      <w:color w:val="999999"/>
      <w:sz w:val="19"/>
      <w:szCs w:val="19"/>
    </w:rPr>
  </w:style>
  <w:style w:type="character" w:customStyle="1" w:styleId="105">
    <w:name w:val="ui-radio-state-checked-hover"/>
    <w:basedOn w:val="5"/>
    <w:qFormat/>
    <w:uiPriority w:val="0"/>
  </w:style>
  <w:style w:type="character" w:customStyle="1" w:styleId="106">
    <w:name w:val="organ-l"/>
    <w:basedOn w:val="5"/>
    <w:qFormat/>
    <w:uiPriority w:val="0"/>
  </w:style>
  <w:style w:type="character" w:customStyle="1" w:styleId="107">
    <w:name w:val="ui-checkbox45"/>
    <w:basedOn w:val="5"/>
    <w:qFormat/>
    <w:uiPriority w:val="0"/>
  </w:style>
  <w:style w:type="character" w:customStyle="1" w:styleId="108">
    <w:name w:val="add_flag"/>
    <w:basedOn w:val="5"/>
    <w:qFormat/>
    <w:uiPriority w:val="0"/>
  </w:style>
  <w:style w:type="character" w:customStyle="1" w:styleId="109">
    <w:name w:val="ui-checkbox39"/>
    <w:basedOn w:val="5"/>
    <w:qFormat/>
    <w:uiPriority w:val="0"/>
  </w:style>
  <w:style w:type="character" w:customStyle="1" w:styleId="110">
    <w:name w:val="selected24"/>
    <w:basedOn w:val="5"/>
    <w:qFormat/>
    <w:uiPriority w:val="0"/>
  </w:style>
  <w:style w:type="character" w:customStyle="1" w:styleId="111">
    <w:name w:val="check-active"/>
    <w:basedOn w:val="5"/>
    <w:qFormat/>
    <w:uiPriority w:val="0"/>
  </w:style>
  <w:style w:type="character" w:customStyle="1" w:styleId="112">
    <w:name w:val="ui-radio-state-checked"/>
    <w:basedOn w:val="5"/>
    <w:qFormat/>
    <w:uiPriority w:val="0"/>
  </w:style>
  <w:style w:type="character" w:customStyle="1" w:styleId="113">
    <w:name w:val="cke_skin_kama"/>
    <w:basedOn w:val="5"/>
    <w:qFormat/>
    <w:uiPriority w:val="0"/>
  </w:style>
  <w:style w:type="character" w:customStyle="1" w:styleId="114">
    <w:name w:val="ui-helper-hidden"/>
    <w:basedOn w:val="5"/>
    <w:qFormat/>
    <w:uiPriority w:val="0"/>
    <w:rPr>
      <w:vanish/>
    </w:rPr>
  </w:style>
  <w:style w:type="character" w:customStyle="1" w:styleId="115">
    <w:name w:val="right-box"/>
    <w:basedOn w:val="5"/>
    <w:qFormat/>
    <w:uiPriority w:val="0"/>
  </w:style>
  <w:style w:type="character" w:customStyle="1" w:styleId="116">
    <w:name w:val="right-back"/>
    <w:basedOn w:val="5"/>
    <w:qFormat/>
    <w:uiPriority w:val="0"/>
  </w:style>
  <w:style w:type="character" w:customStyle="1" w:styleId="117">
    <w:name w:val="ui-checkbox38"/>
    <w:basedOn w:val="5"/>
    <w:qFormat/>
    <w:uiPriority w:val="0"/>
  </w:style>
  <w:style w:type="character" w:customStyle="1" w:styleId="118">
    <w:name w:val="selected22"/>
    <w:basedOn w:val="5"/>
    <w:uiPriority w:val="0"/>
    <w:rPr>
      <w:b/>
      <w:color w:val="2D8DEB"/>
    </w:rPr>
  </w:style>
  <w:style w:type="character" w:customStyle="1" w:styleId="119">
    <w:name w:val="selected21"/>
    <w:basedOn w:val="5"/>
    <w:qFormat/>
    <w:uiPriority w:val="0"/>
    <w:rPr>
      <w:b/>
      <w:color w:val="2D8DEB"/>
    </w:rPr>
  </w:style>
  <w:style w:type="character" w:customStyle="1" w:styleId="120">
    <w:name w:val="ui-radio"/>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9" textRotate="1"/>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yang</dc:creator>
  <cp:lastModifiedBy>TF-PC</cp:lastModifiedBy>
  <cp:lastPrinted>2018-05-15T07:21:00Z</cp:lastPrinted>
  <dcterms:modified xsi:type="dcterms:W3CDTF">2018-08-27T09:39:11Z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