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Times New Roman" w:hAnsi="Times New Roman" w:eastAsia="楷体_GB2312"/>
          <w:bCs/>
          <w:sz w:val="44"/>
        </w:rPr>
      </w:pPr>
      <w:bookmarkStart w:id="0" w:name="_GoBack"/>
      <w:bookmarkEnd w:id="0"/>
      <w:r>
        <w:rPr>
          <w:rFonts w:ascii="Times New Roman" w:hAnsi="Times New Roman" w:eastAsia="楷体_GB2312"/>
          <w:bCs/>
          <w:sz w:val="44"/>
        </w:rPr>
        <w:t>天津市河西区人民法院</w:t>
      </w:r>
    </w:p>
    <w:p>
      <w:pPr>
        <w:pStyle w:val="2"/>
        <w:jc w:val="center"/>
        <w:rPr>
          <w:rFonts w:ascii="Times New Roman" w:hAnsi="Times New Roman" w:eastAsia="黑体"/>
          <w:bCs/>
          <w:sz w:val="52"/>
        </w:rPr>
      </w:pPr>
      <w:r>
        <w:rPr>
          <w:rFonts w:ascii="Times New Roman" w:hAnsi="Times New Roman" w:eastAsia="黑体"/>
          <w:bCs/>
          <w:sz w:val="52"/>
        </w:rPr>
        <w:t>刑 事 判 决 书</w:t>
      </w:r>
    </w:p>
    <w:p>
      <w:pPr>
        <w:pStyle w:val="2"/>
        <w:wordWrap w:val="0"/>
        <w:ind w:left="-2" w:firstLine="526"/>
        <w:jc w:val="right"/>
        <w:rPr>
          <w:rFonts w:ascii="Times New Roman" w:hAnsi="Times New Roman" w:eastAsia="仿宋_GB2312"/>
          <w:bCs/>
          <w:sz w:val="32"/>
        </w:rPr>
      </w:pPr>
      <w:r>
        <w:rPr>
          <w:rFonts w:ascii="Times New Roman" w:hAnsi="Times New Roman" w:eastAsia="仿宋_GB2312"/>
          <w:bCs/>
          <w:sz w:val="32"/>
        </w:rPr>
        <w:t xml:space="preserve">      </w:t>
      </w:r>
    </w:p>
    <w:p>
      <w:pPr>
        <w:pStyle w:val="2"/>
        <w:ind w:left="-2" w:firstLine="526"/>
        <w:jc w:val="right"/>
        <w:rPr>
          <w:rFonts w:ascii="Times New Roman" w:hAnsi="Times New Roman" w:eastAsia="仿宋_GB2312"/>
          <w:bCs/>
          <w:sz w:val="32"/>
        </w:rPr>
      </w:pPr>
      <w:r>
        <w:rPr>
          <w:rFonts w:ascii="Times New Roman" w:hAnsi="Times New Roman" w:eastAsia="仿宋_GB2312"/>
          <w:bCs/>
          <w:sz w:val="32"/>
        </w:rPr>
        <w:t xml:space="preserve"> （201</w:t>
      </w:r>
      <w:r>
        <w:rPr>
          <w:rFonts w:hint="eastAsia" w:ascii="Times New Roman" w:hAnsi="Times New Roman" w:eastAsia="仿宋_GB2312"/>
          <w:bCs/>
          <w:sz w:val="32"/>
        </w:rPr>
        <w:t>6</w:t>
      </w:r>
      <w:r>
        <w:rPr>
          <w:rFonts w:ascii="Times New Roman" w:hAnsi="Times New Roman" w:eastAsia="仿宋_GB2312"/>
          <w:bCs/>
          <w:sz w:val="32"/>
        </w:rPr>
        <w:t>）</w:t>
      </w:r>
      <w:r>
        <w:rPr>
          <w:rFonts w:hint="eastAsia" w:ascii="Times New Roman" w:hAnsi="Times New Roman" w:eastAsia="仿宋_GB2312"/>
          <w:bCs/>
          <w:sz w:val="32"/>
        </w:rPr>
        <w:t>津0103刑初113</w:t>
      </w:r>
      <w:r>
        <w:rPr>
          <w:rFonts w:ascii="Times New Roman" w:hAnsi="Times New Roman" w:eastAsia="仿宋_GB2312"/>
          <w:bCs/>
          <w:sz w:val="32"/>
        </w:rPr>
        <w:t>号</w:t>
      </w:r>
    </w:p>
    <w:p>
      <w:pPr>
        <w:pStyle w:val="2"/>
        <w:spacing w:line="500" w:lineRule="exact"/>
        <w:ind w:left="-2" w:right="160" w:firstLine="526"/>
        <w:jc w:val="right"/>
        <w:rPr>
          <w:rFonts w:ascii="Times New Roman" w:hAnsi="Times New Roman" w:eastAsia="仿宋_GB2312"/>
          <w:sz w:val="32"/>
        </w:rPr>
      </w:pPr>
    </w:p>
    <w:p>
      <w:pPr>
        <w:pStyle w:val="2"/>
        <w:spacing w:line="500" w:lineRule="exact"/>
        <w:ind w:firstLine="640" w:firstLineChars="200"/>
        <w:rPr>
          <w:rFonts w:ascii="Times New Roman" w:hAnsi="Times New Roman" w:eastAsia="仿宋_GB2312"/>
          <w:sz w:val="32"/>
        </w:rPr>
      </w:pPr>
      <w:r>
        <w:rPr>
          <w:rFonts w:ascii="Times New Roman" w:hAnsi="Times New Roman" w:eastAsia="仿宋_GB2312"/>
          <w:sz w:val="32"/>
        </w:rPr>
        <w:t>公诉机关天津市河西区人民检察院。</w:t>
      </w:r>
    </w:p>
    <w:p>
      <w:pPr>
        <w:spacing w:line="500" w:lineRule="exact"/>
        <w:ind w:firstLine="640" w:firstLineChars="200"/>
        <w:rPr>
          <w:rFonts w:eastAsia="仿宋_GB2312"/>
          <w:sz w:val="32"/>
          <w:szCs w:val="20"/>
        </w:rPr>
      </w:pPr>
      <w:r>
        <w:rPr>
          <w:rFonts w:eastAsia="仿宋_GB2312"/>
          <w:sz w:val="32"/>
          <w:szCs w:val="20"/>
        </w:rPr>
        <w:t>被告人张宏军，男，1972年8月12日出生于天津市，公民身份号码：120101197208123511，汉族，中专文化，中国联通天津南开分公司员工，住天津市南开区凤园南里16号楼3门703号，户籍地天津市河西区宾馆西路西园西里19门503号。2015年8月19日被刑事拘留，2015年9月2日因涉嫌犯有信用卡诈骗罪被依法逮捕。现羁押于天津市河西区看守所。</w:t>
      </w:r>
    </w:p>
    <w:p>
      <w:pPr>
        <w:pStyle w:val="2"/>
        <w:spacing w:line="500" w:lineRule="exact"/>
        <w:ind w:left="-2" w:leftChars="-1" w:firstLine="672" w:firstLineChars="210"/>
        <w:rPr>
          <w:rFonts w:ascii="Times New Roman" w:hAnsi="Times New Roman" w:eastAsia="仿宋_GB2312"/>
          <w:sz w:val="32"/>
        </w:rPr>
      </w:pPr>
      <w:r>
        <w:rPr>
          <w:rFonts w:ascii="Times New Roman" w:hAnsi="Times New Roman" w:eastAsia="仿宋_GB2312"/>
          <w:sz w:val="32"/>
        </w:rPr>
        <w:t>天津市河西区人民检察院以津西检公诉刑诉[2016]   104号起诉书指控被告人张宏军犯信用卡诈骗罪，于2016年2月19日向本院提起公诉，并提出量刑建议。本院依法适用简易程序，实行独任审判，公开开庭审理了本案。天津市河西区人民检察院指派检察员李康蕊</w:t>
      </w:r>
      <w:r>
        <w:rPr>
          <w:rFonts w:hint="eastAsia" w:ascii="Times New Roman" w:hAnsi="Times New Roman" w:eastAsia="仿宋_GB2312"/>
          <w:sz w:val="32"/>
        </w:rPr>
        <w:t>、代理检察员张玉恒</w:t>
      </w:r>
      <w:r>
        <w:rPr>
          <w:rFonts w:ascii="Times New Roman" w:hAnsi="Times New Roman" w:eastAsia="仿宋_GB2312"/>
          <w:sz w:val="32"/>
        </w:rPr>
        <w:t>出庭支持公诉，被告人张宏军到庭参加了诉讼。现已审理终结。</w:t>
      </w:r>
    </w:p>
    <w:p>
      <w:pPr>
        <w:autoSpaceDE w:val="0"/>
        <w:autoSpaceDN w:val="0"/>
        <w:adjustRightInd w:val="0"/>
        <w:spacing w:line="500" w:lineRule="exact"/>
        <w:ind w:firstLine="640" w:firstLineChars="200"/>
        <w:rPr>
          <w:rFonts w:eastAsia="仿宋_GB2312"/>
          <w:sz w:val="32"/>
          <w:szCs w:val="20"/>
        </w:rPr>
      </w:pPr>
      <w:r>
        <w:rPr>
          <w:rFonts w:eastAsia="仿宋_GB2312"/>
          <w:sz w:val="32"/>
          <w:szCs w:val="20"/>
        </w:rPr>
        <w:t>天津市河西区人民检察院指控，2014年2月，被告人张宏军在天津银行申请办理津卡贷记卡（卡号：6224264513112101）一张，后开始透支消费。2015年3月26日最后一次还款人民币250元后再无还款。经天津银行多次催收仍不归还剩余款项，且已超过三个月。截至2015年8月5日，该卡欠款本金人民币16420元。被害单位报案后，民警经工作于2015年8月19日在天津市南开区中国</w:t>
      </w:r>
      <w:r>
        <w:rPr>
          <w:rFonts w:hint="eastAsia" w:eastAsia="仿宋_GB2312"/>
          <w:sz w:val="32"/>
          <w:szCs w:val="20"/>
        </w:rPr>
        <w:t>联通南开分公司</w:t>
      </w:r>
      <w:r>
        <w:rPr>
          <w:rFonts w:eastAsia="仿宋_GB2312"/>
          <w:sz w:val="32"/>
          <w:szCs w:val="20"/>
        </w:rPr>
        <w:t>将被告人张宏军抓获。</w:t>
      </w:r>
    </w:p>
    <w:p>
      <w:pPr>
        <w:autoSpaceDE w:val="0"/>
        <w:autoSpaceDN w:val="0"/>
        <w:adjustRightInd w:val="0"/>
        <w:spacing w:line="500" w:lineRule="exact"/>
        <w:ind w:firstLine="640" w:firstLineChars="200"/>
        <w:rPr>
          <w:rFonts w:eastAsia="仿宋_GB2312"/>
          <w:sz w:val="32"/>
          <w:szCs w:val="20"/>
        </w:rPr>
      </w:pPr>
      <w:r>
        <w:rPr>
          <w:rFonts w:hint="eastAsia" w:eastAsia="仿宋_GB2312"/>
          <w:sz w:val="32"/>
          <w:szCs w:val="20"/>
        </w:rPr>
        <w:t>案发后，被告人张宏军家属将被告人在天津银行申领贷记卡所欠款项共计人民币20769.92元全部归还。</w:t>
      </w:r>
    </w:p>
    <w:p>
      <w:pPr>
        <w:autoSpaceDE w:val="0"/>
        <w:autoSpaceDN w:val="0"/>
        <w:adjustRightInd w:val="0"/>
        <w:spacing w:line="500" w:lineRule="exact"/>
        <w:ind w:firstLine="640" w:firstLineChars="200"/>
        <w:rPr>
          <w:rFonts w:eastAsia="仿宋_GB2312"/>
          <w:sz w:val="32"/>
          <w:szCs w:val="20"/>
        </w:rPr>
      </w:pPr>
      <w:r>
        <w:rPr>
          <w:rFonts w:eastAsia="仿宋_GB2312"/>
          <w:sz w:val="32"/>
          <w:szCs w:val="20"/>
        </w:rPr>
        <w:t>另查，2013年10月，被告人张宏军在广发</w:t>
      </w:r>
      <w:r>
        <w:rPr>
          <w:rFonts w:hint="eastAsia" w:eastAsia="仿宋_GB2312"/>
          <w:sz w:val="32"/>
          <w:szCs w:val="20"/>
        </w:rPr>
        <w:t>银行</w:t>
      </w:r>
      <w:r>
        <w:rPr>
          <w:rFonts w:eastAsia="仿宋_GB2312"/>
          <w:sz w:val="32"/>
          <w:szCs w:val="20"/>
        </w:rPr>
        <w:t>股份有限公司天津分行申办信用卡（卡号：6225551420570663）一张，后开始透支消费。2015年1月5日最后一次还款人民币8000元</w:t>
      </w:r>
      <w:r>
        <w:rPr>
          <w:rFonts w:hint="eastAsia" w:eastAsia="仿宋_GB2312"/>
          <w:sz w:val="32"/>
          <w:szCs w:val="20"/>
        </w:rPr>
        <w:t>后</w:t>
      </w:r>
      <w:r>
        <w:rPr>
          <w:rFonts w:eastAsia="仿宋_GB2312"/>
          <w:sz w:val="32"/>
          <w:szCs w:val="20"/>
        </w:rPr>
        <w:t>再无还款。经广发银行多次催收仍不归还剩余款项，且已超过三个月。截至2015年11月2日，该卡欠款本金人民币40371.46元。</w:t>
      </w:r>
    </w:p>
    <w:p>
      <w:pPr>
        <w:pStyle w:val="2"/>
        <w:spacing w:line="500" w:lineRule="exact"/>
        <w:ind w:firstLine="640" w:firstLineChars="200"/>
        <w:rPr>
          <w:rFonts w:ascii="Times New Roman" w:hAnsi="Times New Roman" w:eastAsia="仿宋_GB2312"/>
          <w:sz w:val="32"/>
        </w:rPr>
      </w:pPr>
      <w:r>
        <w:rPr>
          <w:rFonts w:ascii="Times New Roman" w:hAnsi="Times New Roman" w:eastAsia="仿宋_GB2312"/>
          <w:sz w:val="32"/>
        </w:rPr>
        <w:t>上述事实，被告人张宏军在开庭审理过程中亦无异议，且表示认罪。并有被害单位代理人张某某陈述，天津银行、广发</w:t>
      </w:r>
      <w:r>
        <w:rPr>
          <w:rFonts w:hint="eastAsia" w:ascii="Times New Roman" w:hAnsi="Times New Roman" w:eastAsia="仿宋_GB2312"/>
          <w:sz w:val="32"/>
        </w:rPr>
        <w:t>银行</w:t>
      </w:r>
      <w:r>
        <w:rPr>
          <w:rFonts w:ascii="Times New Roman" w:hAnsi="Times New Roman" w:eastAsia="仿宋_GB2312"/>
          <w:sz w:val="32"/>
        </w:rPr>
        <w:t>天津分行出具的报案材料、信用卡申领材料、交易记录、催收记录，</w:t>
      </w:r>
      <w:r>
        <w:rPr>
          <w:rFonts w:hint="eastAsia" w:ascii="Times New Roman" w:hAnsi="Times New Roman" w:eastAsia="仿宋_GB2312"/>
          <w:sz w:val="32"/>
        </w:rPr>
        <w:t>天津银行出具的谅解书及还款凭证，</w:t>
      </w:r>
      <w:r>
        <w:rPr>
          <w:rFonts w:ascii="Times New Roman" w:hAnsi="Times New Roman" w:eastAsia="仿宋_GB2312"/>
          <w:sz w:val="32"/>
        </w:rPr>
        <w:t>公安机关出具的案件来源、抓获经过及户籍材料等证据证实，足以认定。</w:t>
      </w:r>
    </w:p>
    <w:p>
      <w:pPr>
        <w:spacing w:line="500" w:lineRule="exact"/>
        <w:ind w:firstLine="640" w:firstLineChars="200"/>
        <w:rPr>
          <w:rFonts w:eastAsia="仿宋_GB2312"/>
          <w:sz w:val="32"/>
          <w:szCs w:val="20"/>
        </w:rPr>
      </w:pPr>
      <w:r>
        <w:rPr>
          <w:rFonts w:eastAsia="仿宋_GB2312"/>
          <w:sz w:val="32"/>
          <w:szCs w:val="20"/>
        </w:rPr>
        <w:t>本院认为，被告人张宏军目无国家法律，以非法占有为目的，使用信用卡恶意透支，共计透支人民币56791.46元，</w:t>
      </w:r>
      <w:r>
        <w:rPr>
          <w:rFonts w:hint="eastAsia" w:eastAsia="仿宋_GB2312"/>
          <w:sz w:val="32"/>
          <w:szCs w:val="20"/>
        </w:rPr>
        <w:t>数额较大，且</w:t>
      </w:r>
      <w:r>
        <w:rPr>
          <w:rFonts w:eastAsia="仿宋_GB2312"/>
          <w:sz w:val="32"/>
          <w:szCs w:val="20"/>
        </w:rPr>
        <w:t>经发卡行催收仍不归还，其行为已构成信用卡诈骗罪。被告人张宏军如实供述</w:t>
      </w:r>
      <w:r>
        <w:rPr>
          <w:rFonts w:hint="eastAsia" w:eastAsia="仿宋_GB2312"/>
          <w:sz w:val="32"/>
          <w:szCs w:val="20"/>
        </w:rPr>
        <w:t>自己的犯罪事实</w:t>
      </w:r>
      <w:r>
        <w:rPr>
          <w:rFonts w:eastAsia="仿宋_GB2312"/>
          <w:sz w:val="32"/>
          <w:szCs w:val="20"/>
        </w:rPr>
        <w:t>，依法可从轻处罚。</w:t>
      </w:r>
      <w:r>
        <w:rPr>
          <w:rFonts w:hint="eastAsia" w:eastAsia="仿宋_GB2312"/>
          <w:sz w:val="32"/>
          <w:szCs w:val="20"/>
        </w:rPr>
        <w:t>被告人张宏军家属在案发后退赔部分被害单位经济损失，酌情可从轻处罚。</w:t>
      </w:r>
      <w:r>
        <w:rPr>
          <w:rFonts w:eastAsia="仿宋_GB2312"/>
          <w:sz w:val="32"/>
          <w:szCs w:val="20"/>
        </w:rPr>
        <w:t>为严肃国家法律，维护社会主义市场经济秩序，保护公司财产权利不受侵犯，依照《中华人民共和国刑法》第一百九十六条第一款第（四）项、第二款，第六十七条第三款，第六十四条之规定，判决如下：</w:t>
      </w:r>
    </w:p>
    <w:p>
      <w:pPr>
        <w:spacing w:line="500" w:lineRule="exact"/>
        <w:ind w:firstLine="720" w:firstLineChars="225"/>
        <w:rPr>
          <w:rFonts w:eastAsia="仿宋_GB2312"/>
          <w:sz w:val="32"/>
          <w:szCs w:val="20"/>
        </w:rPr>
      </w:pPr>
      <w:r>
        <w:rPr>
          <w:rFonts w:eastAsia="仿宋_GB2312"/>
          <w:sz w:val="32"/>
          <w:szCs w:val="20"/>
        </w:rPr>
        <w:t>一、被告人张宏军犯信用卡诈骗罪，判处有期徒刑</w:t>
      </w:r>
      <w:r>
        <w:rPr>
          <w:rFonts w:hint="eastAsia" w:eastAsia="仿宋_GB2312"/>
          <w:sz w:val="32"/>
          <w:szCs w:val="20"/>
        </w:rPr>
        <w:t>一年六个月</w:t>
      </w:r>
      <w:r>
        <w:rPr>
          <w:rFonts w:eastAsia="仿宋_GB2312"/>
          <w:sz w:val="32"/>
          <w:szCs w:val="20"/>
        </w:rPr>
        <w:t>，罚金人民币20000元。</w:t>
      </w:r>
    </w:p>
    <w:p>
      <w:pPr>
        <w:spacing w:line="500" w:lineRule="exact"/>
        <w:ind w:firstLine="713" w:firstLineChars="223"/>
        <w:rPr>
          <w:rFonts w:eastAsia="仿宋_GB2312"/>
          <w:sz w:val="32"/>
          <w:szCs w:val="20"/>
        </w:rPr>
      </w:pPr>
      <w:r>
        <w:rPr>
          <w:rFonts w:eastAsia="仿宋_GB2312"/>
          <w:sz w:val="32"/>
          <w:szCs w:val="20"/>
        </w:rPr>
        <w:t>（刑期从判决执行之日起计算；判决执行以前先行羁押的，羁押一日折抵刑期一日，即自2015年8月19日起至2017年</w:t>
      </w:r>
      <w:r>
        <w:rPr>
          <w:rFonts w:hint="eastAsia" w:eastAsia="仿宋_GB2312"/>
          <w:sz w:val="32"/>
          <w:szCs w:val="20"/>
        </w:rPr>
        <w:t>2</w:t>
      </w:r>
      <w:r>
        <w:rPr>
          <w:rFonts w:eastAsia="仿宋_GB2312"/>
          <w:sz w:val="32"/>
          <w:szCs w:val="20"/>
        </w:rPr>
        <w:t>月18日止。罚金限判决生效十日内立即缴纳。）</w:t>
      </w:r>
    </w:p>
    <w:p>
      <w:pPr>
        <w:spacing w:line="500" w:lineRule="exact"/>
        <w:ind w:firstLine="713" w:firstLineChars="223"/>
        <w:rPr>
          <w:rFonts w:eastAsia="仿宋_GB2312"/>
          <w:sz w:val="32"/>
          <w:szCs w:val="20"/>
        </w:rPr>
      </w:pPr>
      <w:r>
        <w:rPr>
          <w:rFonts w:eastAsia="仿宋_GB2312"/>
          <w:sz w:val="32"/>
          <w:szCs w:val="20"/>
        </w:rPr>
        <w:t>二、责令被告人张宏军退赔被害单位广发</w:t>
      </w:r>
      <w:r>
        <w:rPr>
          <w:rFonts w:hint="eastAsia" w:eastAsia="仿宋_GB2312"/>
          <w:sz w:val="32"/>
          <w:szCs w:val="20"/>
        </w:rPr>
        <w:t>银行</w:t>
      </w:r>
      <w:r>
        <w:rPr>
          <w:rFonts w:eastAsia="仿宋_GB2312"/>
          <w:sz w:val="32"/>
          <w:szCs w:val="20"/>
        </w:rPr>
        <w:t>股份有限公司天津分行人民币40371.46</w:t>
      </w:r>
      <w:r>
        <w:rPr>
          <w:rFonts w:hint="eastAsia" w:eastAsia="仿宋_GB2312"/>
          <w:sz w:val="32"/>
          <w:szCs w:val="20"/>
        </w:rPr>
        <w:t>元</w:t>
      </w:r>
      <w:r>
        <w:rPr>
          <w:rFonts w:eastAsia="仿宋_GB2312"/>
          <w:sz w:val="32"/>
          <w:szCs w:val="20"/>
        </w:rPr>
        <w:t>。</w:t>
      </w:r>
    </w:p>
    <w:p>
      <w:pPr>
        <w:pStyle w:val="2"/>
        <w:spacing w:line="500" w:lineRule="exact"/>
        <w:ind w:firstLine="640" w:firstLineChars="200"/>
        <w:rPr>
          <w:rFonts w:ascii="Times New Roman" w:hAnsi="Times New Roman" w:eastAsia="仿宋_GB2312"/>
          <w:sz w:val="32"/>
        </w:rPr>
      </w:pPr>
      <w:r>
        <w:rPr>
          <w:rFonts w:ascii="Times New Roman" w:hAnsi="Times New Roman" w:eastAsia="仿宋_GB2312"/>
          <w:sz w:val="32"/>
        </w:rPr>
        <w:t>如不服本判决，可在接到判决书的第二日起十日内，通过本院或者直接向天津市第二中级人民法院提出上诉。书面上诉的，应交上诉状正本一份，副本两份。</w:t>
      </w:r>
    </w:p>
    <w:p>
      <w:pPr>
        <w:pStyle w:val="2"/>
        <w:spacing w:line="500" w:lineRule="exact"/>
        <w:ind w:left="-2" w:leftChars="-1" w:firstLine="560" w:firstLineChars="175"/>
        <w:rPr>
          <w:rFonts w:ascii="Times New Roman" w:hAnsi="Times New Roman" w:eastAsia="仿宋_GB2312"/>
          <w:sz w:val="32"/>
        </w:rPr>
      </w:pPr>
      <w:r>
        <w:rPr>
          <w:rFonts w:ascii="Times New Roman" w:hAnsi="Times New Roman" w:eastAsia="仿宋_GB2312"/>
          <w:sz w:val="32"/>
        </w:rPr>
        <w:t xml:space="preserve">     </w:t>
      </w:r>
    </w:p>
    <w:p>
      <w:pPr>
        <w:pStyle w:val="2"/>
        <w:spacing w:line="500" w:lineRule="exact"/>
        <w:ind w:left="-2" w:leftChars="-1" w:firstLine="560" w:firstLineChars="175"/>
        <w:rPr>
          <w:rFonts w:ascii="Times New Roman" w:hAnsi="Times New Roman" w:eastAsia="仿宋_GB2312"/>
          <w:sz w:val="32"/>
        </w:rPr>
      </w:pPr>
    </w:p>
    <w:p>
      <w:pPr>
        <w:spacing w:line="500" w:lineRule="exact"/>
        <w:ind w:right="31" w:rightChars="15" w:firstLine="4480" w:firstLineChars="1400"/>
        <w:jc w:val="right"/>
        <w:rPr>
          <w:rFonts w:eastAsia="仿宋_GB2312"/>
          <w:sz w:val="32"/>
          <w:szCs w:val="20"/>
        </w:rPr>
      </w:pPr>
      <w:r>
        <w:rPr>
          <w:rFonts w:eastAsia="仿宋_GB2312"/>
          <w:sz w:val="32"/>
          <w:szCs w:val="20"/>
        </w:rPr>
        <w:t xml:space="preserve">                  </w:t>
      </w:r>
    </w:p>
    <w:p>
      <w:pPr>
        <w:spacing w:line="500" w:lineRule="exact"/>
        <w:ind w:right="31" w:rightChars="15" w:firstLine="4480" w:firstLineChars="1400"/>
        <w:jc w:val="right"/>
        <w:rPr>
          <w:rFonts w:eastAsia="仿宋_GB2312"/>
          <w:sz w:val="32"/>
          <w:szCs w:val="20"/>
        </w:rPr>
      </w:pPr>
      <w:r>
        <w:rPr>
          <w:rFonts w:eastAsia="仿宋_GB2312"/>
          <w:sz w:val="32"/>
          <w:szCs w:val="20"/>
        </w:rPr>
        <w:t xml:space="preserve"> 审  判  员   刘毅荣</w:t>
      </w:r>
    </w:p>
    <w:p>
      <w:pPr>
        <w:spacing w:line="500" w:lineRule="exact"/>
        <w:ind w:right="31" w:rightChars="15" w:firstLine="4480" w:firstLineChars="1400"/>
        <w:jc w:val="right"/>
        <w:rPr>
          <w:rFonts w:eastAsia="仿宋_GB2312"/>
          <w:sz w:val="32"/>
          <w:szCs w:val="20"/>
        </w:rPr>
      </w:pPr>
    </w:p>
    <w:p>
      <w:pPr>
        <w:spacing w:line="500" w:lineRule="exact"/>
        <w:ind w:left="525" w:leftChars="250" w:right="31" w:rightChars="15" w:firstLine="4160" w:firstLineChars="1300"/>
        <w:jc w:val="right"/>
        <w:rPr>
          <w:rFonts w:eastAsia="仿宋_GB2312"/>
          <w:sz w:val="32"/>
          <w:szCs w:val="20"/>
        </w:rPr>
      </w:pPr>
      <w:r>
        <w:rPr>
          <w:rFonts w:eastAsia="仿宋_GB2312"/>
          <w:sz w:val="32"/>
          <w:szCs w:val="20"/>
        </w:rPr>
        <w:t>二</w:t>
      </w:r>
      <w:r>
        <w:rPr>
          <w:rFonts w:hint="eastAsia" w:ascii="宋体" w:hAnsi="宋体" w:cs="宋体"/>
          <w:sz w:val="32"/>
          <w:szCs w:val="20"/>
        </w:rPr>
        <w:t>〇</w:t>
      </w:r>
      <w:r>
        <w:rPr>
          <w:rFonts w:eastAsia="仿宋_GB2312"/>
          <w:sz w:val="32"/>
          <w:szCs w:val="20"/>
        </w:rPr>
        <w:t>一六年三月一日</w:t>
      </w:r>
    </w:p>
    <w:p>
      <w:pPr>
        <w:spacing w:line="500" w:lineRule="exact"/>
        <w:ind w:left="525" w:leftChars="250" w:right="31" w:rightChars="15" w:firstLine="4160" w:firstLineChars="1300"/>
        <w:jc w:val="right"/>
        <w:rPr>
          <w:rFonts w:eastAsia="仿宋_GB2312"/>
          <w:sz w:val="32"/>
          <w:szCs w:val="20"/>
        </w:rPr>
      </w:pPr>
    </w:p>
    <w:p>
      <w:pPr>
        <w:spacing w:line="500" w:lineRule="exact"/>
        <w:ind w:right="31" w:rightChars="15" w:firstLine="4320" w:firstLineChars="1350"/>
        <w:jc w:val="right"/>
        <w:rPr>
          <w:rFonts w:eastAsia="仿宋_GB2312"/>
          <w:sz w:val="32"/>
          <w:szCs w:val="20"/>
        </w:rPr>
      </w:pPr>
      <w:r>
        <w:rPr>
          <w:rFonts w:eastAsia="仿宋_GB2312"/>
          <w:sz w:val="32"/>
          <w:szCs w:val="20"/>
        </w:rPr>
        <w:t xml:space="preserve">     书  记  员   马为一</w:t>
      </w:r>
    </w:p>
    <w:p>
      <w:pPr>
        <w:spacing w:line="500" w:lineRule="exact"/>
        <w:ind w:right="31" w:rightChars="15" w:firstLine="3958" w:firstLineChars="1237"/>
        <w:jc w:val="right"/>
        <w:rPr>
          <w:rFonts w:eastAsia="仿宋_GB2312"/>
          <w:sz w:val="32"/>
          <w:szCs w:val="20"/>
        </w:rPr>
      </w:pPr>
      <w:r>
        <w:rPr>
          <w:rFonts w:eastAsia="仿宋_GB2312"/>
          <w:sz w:val="32"/>
          <w:szCs w:val="20"/>
        </w:rPr>
        <w:t>速  录  员   杨梦萱</w:t>
      </w:r>
    </w:p>
    <w:p>
      <w:pPr>
        <w:pStyle w:val="2"/>
        <w:spacing w:line="500" w:lineRule="exact"/>
        <w:rPr>
          <w:rFonts w:ascii="Times New Roman" w:hAnsi="Times New Roman" w:eastAsia="仿宋_GB2312"/>
          <w:sz w:val="32"/>
        </w:rPr>
      </w:pPr>
      <w:r>
        <w:rPr>
          <w:rFonts w:ascii="Times New Roman" w:hAnsi="Times New Roman" w:eastAsia="仿宋_GB2312"/>
          <w:sz w:val="32"/>
        </w:rPr>
        <w:t xml:space="preserve">  </w:t>
      </w:r>
    </w:p>
    <w:p>
      <w:pPr>
        <w:spacing w:line="500" w:lineRule="exact"/>
        <w:rPr>
          <w:rFonts w:eastAsia="仿宋_GB2312"/>
          <w:sz w:val="32"/>
          <w:szCs w:val="20"/>
        </w:rPr>
      </w:pPr>
    </w:p>
    <w:p>
      <w:pPr>
        <w:spacing w:line="500" w:lineRule="exact"/>
        <w:rPr>
          <w:rFonts w:eastAsia="仿宋_GB2312"/>
          <w:sz w:val="32"/>
          <w:szCs w:val="20"/>
        </w:rPr>
      </w:pPr>
    </w:p>
    <w:p>
      <w:pPr>
        <w:spacing w:line="500" w:lineRule="exact"/>
        <w:ind w:firstLine="640" w:firstLineChars="200"/>
        <w:rPr>
          <w:rFonts w:eastAsia="仿宋_GB2312"/>
          <w:sz w:val="32"/>
          <w:szCs w:val="20"/>
        </w:rPr>
      </w:pPr>
      <w:r>
        <w:rPr>
          <w:rFonts w:eastAsia="仿宋_GB2312"/>
          <w:sz w:val="32"/>
          <w:szCs w:val="20"/>
        </w:rPr>
        <w:t>本案引用的法律条文</w:t>
      </w:r>
    </w:p>
    <w:p>
      <w:pPr>
        <w:spacing w:line="500" w:lineRule="exact"/>
        <w:ind w:firstLine="640" w:firstLineChars="200"/>
        <w:rPr>
          <w:rFonts w:eastAsia="仿宋_GB2312"/>
          <w:sz w:val="32"/>
          <w:szCs w:val="20"/>
        </w:rPr>
      </w:pPr>
      <w:r>
        <w:rPr>
          <w:rFonts w:eastAsia="仿宋_GB2312"/>
          <w:sz w:val="32"/>
          <w:szCs w:val="20"/>
        </w:rPr>
        <w:t>《中华人民共和国刑法》</w:t>
      </w:r>
    </w:p>
    <w:p>
      <w:pPr>
        <w:spacing w:line="500" w:lineRule="exact"/>
        <w:ind w:firstLine="640" w:firstLineChars="200"/>
        <w:rPr>
          <w:rFonts w:eastAsia="仿宋_GB2312"/>
          <w:sz w:val="32"/>
          <w:szCs w:val="20"/>
        </w:rPr>
      </w:pPr>
      <w:r>
        <w:rPr>
          <w:rFonts w:eastAsia="仿宋_GB2312"/>
          <w:sz w:val="32"/>
          <w:szCs w:val="20"/>
        </w:rPr>
        <w:t>第六十四条   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500" w:lineRule="exact"/>
        <w:ind w:firstLine="640" w:firstLineChars="200"/>
        <w:rPr>
          <w:rFonts w:eastAsia="仿宋_GB2312"/>
          <w:sz w:val="32"/>
          <w:szCs w:val="20"/>
        </w:rPr>
      </w:pPr>
      <w:r>
        <w:rPr>
          <w:rFonts w:eastAsia="仿宋_GB2312"/>
          <w:sz w:val="32"/>
          <w:szCs w:val="20"/>
        </w:rPr>
        <w:t>第六十七条第三款   犯罪嫌疑人虽不具有前两款规定的自首情节，但是如实供述自己罪行的，可以从轻处罚；因其如实供述自己罪行，避免特别严重后果发生的，可以减轻处罚。</w:t>
      </w:r>
    </w:p>
    <w:p>
      <w:pPr>
        <w:spacing w:line="500" w:lineRule="exact"/>
        <w:ind w:firstLine="640" w:firstLineChars="200"/>
        <w:rPr>
          <w:rFonts w:eastAsia="仿宋_GB2312"/>
          <w:sz w:val="32"/>
          <w:szCs w:val="20"/>
        </w:rPr>
      </w:pPr>
      <w:r>
        <w:rPr>
          <w:rFonts w:eastAsia="仿宋_GB2312"/>
          <w:sz w:val="32"/>
          <w:szCs w:val="20"/>
        </w:rPr>
        <w:t>第一百九十六条第一款第（四）项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spacing w:line="500" w:lineRule="exact"/>
        <w:ind w:firstLine="640" w:firstLineChars="200"/>
        <w:rPr>
          <w:rFonts w:eastAsia="仿宋_GB2312"/>
          <w:sz w:val="32"/>
          <w:szCs w:val="20"/>
        </w:rPr>
      </w:pPr>
      <w:r>
        <w:rPr>
          <w:rFonts w:eastAsia="仿宋_GB2312"/>
          <w:sz w:val="32"/>
          <w:szCs w:val="20"/>
        </w:rPr>
        <w:t>（四）恶意透支的。</w:t>
      </w:r>
    </w:p>
    <w:p>
      <w:pPr>
        <w:spacing w:line="500" w:lineRule="exact"/>
        <w:ind w:firstLine="640" w:firstLineChars="200"/>
        <w:rPr>
          <w:rFonts w:eastAsia="仿宋_GB2312"/>
          <w:sz w:val="32"/>
          <w:szCs w:val="20"/>
        </w:rPr>
      </w:pPr>
      <w:r>
        <w:rPr>
          <w:rFonts w:eastAsia="仿宋_GB2312"/>
          <w:sz w:val="32"/>
          <w:szCs w:val="20"/>
        </w:rPr>
        <w:t>第一百九十六条第二款   前款所称恶意透支，是指持卡人以非法占有为目的，超过规定限额或者规定期限透支，并且经发卡银行催收后仍不归还的行为。</w:t>
      </w:r>
    </w:p>
    <w:p>
      <w:pPr>
        <w:spacing w:line="500" w:lineRule="exact"/>
        <w:ind w:firstLine="640" w:firstLineChars="200"/>
        <w:rPr>
          <w:rFonts w:eastAsia="仿宋_GB2312"/>
          <w:sz w:val="32"/>
          <w:szCs w:val="20"/>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055969"/>
      <w:docPartObj>
        <w:docPartGallery w:val="autotext"/>
      </w:docPartObj>
    </w:sdtPr>
    <w:sdtContent>
      <w:p>
        <w:pPr>
          <w:pStyle w:val="3"/>
          <w:jc w:val="center"/>
        </w:pPr>
        <w:r>
          <w:fldChar w:fldCharType="begin"/>
        </w:r>
        <w:r>
          <w:instrText xml:space="preserve"> PAGE   \* MERGEFORMAT </w:instrText>
        </w:r>
        <w:r>
          <w:fldChar w:fldCharType="separate"/>
        </w:r>
        <w:r>
          <w:rPr>
            <w:lang w:val="zh-CN"/>
          </w:rPr>
          <w:t>4</w:t>
        </w:r>
        <w:r>
          <w:rPr>
            <w:lang w:val="zh-CN"/>
          </w:rPr>
          <w:fldChar w:fldCharType="end"/>
        </w:r>
      </w:p>
    </w:sdtContent>
  </w:sdt>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662EC"/>
    <w:rsid w:val="00015403"/>
    <w:rsid w:val="00024D97"/>
    <w:rsid w:val="00025462"/>
    <w:rsid w:val="000677A9"/>
    <w:rsid w:val="00073B11"/>
    <w:rsid w:val="00086320"/>
    <w:rsid w:val="0008713C"/>
    <w:rsid w:val="000976D3"/>
    <w:rsid w:val="000A3956"/>
    <w:rsid w:val="000E264F"/>
    <w:rsid w:val="000E5581"/>
    <w:rsid w:val="001019B5"/>
    <w:rsid w:val="001058A9"/>
    <w:rsid w:val="00106A7F"/>
    <w:rsid w:val="001403F8"/>
    <w:rsid w:val="0014379B"/>
    <w:rsid w:val="00152688"/>
    <w:rsid w:val="001644CF"/>
    <w:rsid w:val="00167107"/>
    <w:rsid w:val="001A618E"/>
    <w:rsid w:val="001A65BB"/>
    <w:rsid w:val="001A7C97"/>
    <w:rsid w:val="001B1D6C"/>
    <w:rsid w:val="001B3FA7"/>
    <w:rsid w:val="001B635B"/>
    <w:rsid w:val="001D6DC5"/>
    <w:rsid w:val="001E47F7"/>
    <w:rsid w:val="00212972"/>
    <w:rsid w:val="002219F2"/>
    <w:rsid w:val="00222142"/>
    <w:rsid w:val="002226D3"/>
    <w:rsid w:val="00227CAE"/>
    <w:rsid w:val="00236EE7"/>
    <w:rsid w:val="002402D9"/>
    <w:rsid w:val="00241BEB"/>
    <w:rsid w:val="00255B74"/>
    <w:rsid w:val="00266248"/>
    <w:rsid w:val="002674B7"/>
    <w:rsid w:val="00272BDB"/>
    <w:rsid w:val="00285000"/>
    <w:rsid w:val="00292530"/>
    <w:rsid w:val="002941B2"/>
    <w:rsid w:val="00295CD8"/>
    <w:rsid w:val="002A101E"/>
    <w:rsid w:val="002B3462"/>
    <w:rsid w:val="002C6B1D"/>
    <w:rsid w:val="002F15A8"/>
    <w:rsid w:val="003279CD"/>
    <w:rsid w:val="00346825"/>
    <w:rsid w:val="00365387"/>
    <w:rsid w:val="00371554"/>
    <w:rsid w:val="00371E0D"/>
    <w:rsid w:val="00382814"/>
    <w:rsid w:val="003A0A18"/>
    <w:rsid w:val="003C4EBD"/>
    <w:rsid w:val="003D03C6"/>
    <w:rsid w:val="003D2CEE"/>
    <w:rsid w:val="003E61A7"/>
    <w:rsid w:val="003F0F72"/>
    <w:rsid w:val="003F34DC"/>
    <w:rsid w:val="003F455E"/>
    <w:rsid w:val="003F53D8"/>
    <w:rsid w:val="004019CC"/>
    <w:rsid w:val="0040362F"/>
    <w:rsid w:val="00405EBC"/>
    <w:rsid w:val="00443BB4"/>
    <w:rsid w:val="0046582D"/>
    <w:rsid w:val="0047018E"/>
    <w:rsid w:val="00475D45"/>
    <w:rsid w:val="00495EE2"/>
    <w:rsid w:val="004B22A2"/>
    <w:rsid w:val="004B3A93"/>
    <w:rsid w:val="004C0054"/>
    <w:rsid w:val="004C0C60"/>
    <w:rsid w:val="00507D12"/>
    <w:rsid w:val="00521DCD"/>
    <w:rsid w:val="00521E7B"/>
    <w:rsid w:val="00524AAE"/>
    <w:rsid w:val="005515BF"/>
    <w:rsid w:val="00557AEC"/>
    <w:rsid w:val="005761EE"/>
    <w:rsid w:val="005765A1"/>
    <w:rsid w:val="005824A7"/>
    <w:rsid w:val="00583398"/>
    <w:rsid w:val="00595412"/>
    <w:rsid w:val="005B2E0E"/>
    <w:rsid w:val="005C4093"/>
    <w:rsid w:val="005C6C68"/>
    <w:rsid w:val="005C7DCD"/>
    <w:rsid w:val="005D34E0"/>
    <w:rsid w:val="005E04F4"/>
    <w:rsid w:val="005E1528"/>
    <w:rsid w:val="005E41C7"/>
    <w:rsid w:val="005E4286"/>
    <w:rsid w:val="005E5653"/>
    <w:rsid w:val="005F0C46"/>
    <w:rsid w:val="006119CB"/>
    <w:rsid w:val="006161B2"/>
    <w:rsid w:val="0061656B"/>
    <w:rsid w:val="00631E50"/>
    <w:rsid w:val="00650B23"/>
    <w:rsid w:val="0066701C"/>
    <w:rsid w:val="00671663"/>
    <w:rsid w:val="00671F04"/>
    <w:rsid w:val="0067484D"/>
    <w:rsid w:val="00682522"/>
    <w:rsid w:val="006871F2"/>
    <w:rsid w:val="006923AC"/>
    <w:rsid w:val="006A37C9"/>
    <w:rsid w:val="006A5868"/>
    <w:rsid w:val="006B7881"/>
    <w:rsid w:val="006B7E74"/>
    <w:rsid w:val="006C34BE"/>
    <w:rsid w:val="006D3526"/>
    <w:rsid w:val="006D5985"/>
    <w:rsid w:val="006E1805"/>
    <w:rsid w:val="006E5371"/>
    <w:rsid w:val="006E5492"/>
    <w:rsid w:val="006F0209"/>
    <w:rsid w:val="00706141"/>
    <w:rsid w:val="00750389"/>
    <w:rsid w:val="00753C38"/>
    <w:rsid w:val="007610EA"/>
    <w:rsid w:val="007658E1"/>
    <w:rsid w:val="007662EC"/>
    <w:rsid w:val="00780196"/>
    <w:rsid w:val="0078141D"/>
    <w:rsid w:val="00782A0D"/>
    <w:rsid w:val="00791A91"/>
    <w:rsid w:val="00792E40"/>
    <w:rsid w:val="007A53F0"/>
    <w:rsid w:val="007B1A32"/>
    <w:rsid w:val="007B584C"/>
    <w:rsid w:val="007D681A"/>
    <w:rsid w:val="007D79D1"/>
    <w:rsid w:val="007E396D"/>
    <w:rsid w:val="007E6773"/>
    <w:rsid w:val="007E7B1B"/>
    <w:rsid w:val="007F6EBB"/>
    <w:rsid w:val="00800F4D"/>
    <w:rsid w:val="00802175"/>
    <w:rsid w:val="00803C97"/>
    <w:rsid w:val="00810779"/>
    <w:rsid w:val="00813130"/>
    <w:rsid w:val="00816A7B"/>
    <w:rsid w:val="00823E84"/>
    <w:rsid w:val="0082486A"/>
    <w:rsid w:val="008368F7"/>
    <w:rsid w:val="00846F85"/>
    <w:rsid w:val="008514D8"/>
    <w:rsid w:val="008851A0"/>
    <w:rsid w:val="00887A2E"/>
    <w:rsid w:val="00891A97"/>
    <w:rsid w:val="0089415F"/>
    <w:rsid w:val="00894FE9"/>
    <w:rsid w:val="008A179A"/>
    <w:rsid w:val="008B1F1B"/>
    <w:rsid w:val="008B79C3"/>
    <w:rsid w:val="008D6640"/>
    <w:rsid w:val="008D7878"/>
    <w:rsid w:val="008E25E1"/>
    <w:rsid w:val="008E2E24"/>
    <w:rsid w:val="00900942"/>
    <w:rsid w:val="00902290"/>
    <w:rsid w:val="00902338"/>
    <w:rsid w:val="009375BC"/>
    <w:rsid w:val="00950FEC"/>
    <w:rsid w:val="00953D0F"/>
    <w:rsid w:val="00953FB6"/>
    <w:rsid w:val="009979ED"/>
    <w:rsid w:val="009E3746"/>
    <w:rsid w:val="009E5D5B"/>
    <w:rsid w:val="009E75AB"/>
    <w:rsid w:val="00A041A1"/>
    <w:rsid w:val="00A108E5"/>
    <w:rsid w:val="00A1585B"/>
    <w:rsid w:val="00A43216"/>
    <w:rsid w:val="00A455B9"/>
    <w:rsid w:val="00A64A9B"/>
    <w:rsid w:val="00A65B33"/>
    <w:rsid w:val="00A70A3B"/>
    <w:rsid w:val="00A73296"/>
    <w:rsid w:val="00A821D8"/>
    <w:rsid w:val="00A91BEC"/>
    <w:rsid w:val="00AA1D18"/>
    <w:rsid w:val="00AB43A1"/>
    <w:rsid w:val="00AB7199"/>
    <w:rsid w:val="00AD6B10"/>
    <w:rsid w:val="00AF08C7"/>
    <w:rsid w:val="00AF49EF"/>
    <w:rsid w:val="00B003F0"/>
    <w:rsid w:val="00B14673"/>
    <w:rsid w:val="00B21F61"/>
    <w:rsid w:val="00B22D88"/>
    <w:rsid w:val="00B348FF"/>
    <w:rsid w:val="00B40C35"/>
    <w:rsid w:val="00B519E8"/>
    <w:rsid w:val="00B555F1"/>
    <w:rsid w:val="00B64A62"/>
    <w:rsid w:val="00B6575C"/>
    <w:rsid w:val="00B7001E"/>
    <w:rsid w:val="00B70628"/>
    <w:rsid w:val="00B715F4"/>
    <w:rsid w:val="00B84676"/>
    <w:rsid w:val="00B95800"/>
    <w:rsid w:val="00BA4638"/>
    <w:rsid w:val="00BA5DAC"/>
    <w:rsid w:val="00BC3023"/>
    <w:rsid w:val="00BD3B91"/>
    <w:rsid w:val="00BD66CF"/>
    <w:rsid w:val="00BE1DDC"/>
    <w:rsid w:val="00BE23FF"/>
    <w:rsid w:val="00BF768D"/>
    <w:rsid w:val="00C0255E"/>
    <w:rsid w:val="00C07577"/>
    <w:rsid w:val="00C26DC4"/>
    <w:rsid w:val="00C3332E"/>
    <w:rsid w:val="00C34412"/>
    <w:rsid w:val="00C355D4"/>
    <w:rsid w:val="00C37268"/>
    <w:rsid w:val="00C40278"/>
    <w:rsid w:val="00C560E3"/>
    <w:rsid w:val="00C670F9"/>
    <w:rsid w:val="00C73678"/>
    <w:rsid w:val="00C8185D"/>
    <w:rsid w:val="00C83DAA"/>
    <w:rsid w:val="00C84FDF"/>
    <w:rsid w:val="00C96AAB"/>
    <w:rsid w:val="00CA23CD"/>
    <w:rsid w:val="00CA5CA4"/>
    <w:rsid w:val="00CB0037"/>
    <w:rsid w:val="00CB524E"/>
    <w:rsid w:val="00CB7DCE"/>
    <w:rsid w:val="00CC0EEA"/>
    <w:rsid w:val="00CC4D7F"/>
    <w:rsid w:val="00CD0544"/>
    <w:rsid w:val="00CD4089"/>
    <w:rsid w:val="00CD6223"/>
    <w:rsid w:val="00CE1832"/>
    <w:rsid w:val="00CF5DA7"/>
    <w:rsid w:val="00D2456E"/>
    <w:rsid w:val="00D2728D"/>
    <w:rsid w:val="00D3188C"/>
    <w:rsid w:val="00D37364"/>
    <w:rsid w:val="00D40FBC"/>
    <w:rsid w:val="00D4172F"/>
    <w:rsid w:val="00D47595"/>
    <w:rsid w:val="00D51A97"/>
    <w:rsid w:val="00D54C3A"/>
    <w:rsid w:val="00D61389"/>
    <w:rsid w:val="00D70283"/>
    <w:rsid w:val="00D916EF"/>
    <w:rsid w:val="00D94C34"/>
    <w:rsid w:val="00DA41F1"/>
    <w:rsid w:val="00DA6CBF"/>
    <w:rsid w:val="00DB7232"/>
    <w:rsid w:val="00DC1D19"/>
    <w:rsid w:val="00DC4AA3"/>
    <w:rsid w:val="00DC72EB"/>
    <w:rsid w:val="00DE328D"/>
    <w:rsid w:val="00DF7D28"/>
    <w:rsid w:val="00E012EB"/>
    <w:rsid w:val="00E07F7E"/>
    <w:rsid w:val="00E235A4"/>
    <w:rsid w:val="00E35CD8"/>
    <w:rsid w:val="00E6055E"/>
    <w:rsid w:val="00E61CC2"/>
    <w:rsid w:val="00E672D7"/>
    <w:rsid w:val="00E83A31"/>
    <w:rsid w:val="00E92E73"/>
    <w:rsid w:val="00E93EAC"/>
    <w:rsid w:val="00E941FB"/>
    <w:rsid w:val="00E96DB1"/>
    <w:rsid w:val="00E97E08"/>
    <w:rsid w:val="00EA0C8D"/>
    <w:rsid w:val="00EB1F8D"/>
    <w:rsid w:val="00EB2597"/>
    <w:rsid w:val="00ED6CDA"/>
    <w:rsid w:val="00EF4EDD"/>
    <w:rsid w:val="00EF6441"/>
    <w:rsid w:val="00F0326A"/>
    <w:rsid w:val="00F11BAD"/>
    <w:rsid w:val="00F1217F"/>
    <w:rsid w:val="00F12DA4"/>
    <w:rsid w:val="00F13C1F"/>
    <w:rsid w:val="00F15811"/>
    <w:rsid w:val="00F3317D"/>
    <w:rsid w:val="00F42206"/>
    <w:rsid w:val="00FA3D27"/>
    <w:rsid w:val="00FA5379"/>
    <w:rsid w:val="00FD2A5F"/>
    <w:rsid w:val="00FE61A2"/>
    <w:rsid w:val="00FF37F8"/>
    <w:rsid w:val="00FF3D45"/>
    <w:rsid w:val="00FF4CEE"/>
    <w:rsid w:val="00FF5A40"/>
    <w:rsid w:val="00FF7CB1"/>
    <w:rsid w:val="42D362F7"/>
    <w:rsid w:val="46C01693"/>
    <w:rsid w:val="52C14E39"/>
    <w:rsid w:val="6A2C3398"/>
    <w:rsid w:val="70F556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Plain Text"/>
    <w:basedOn w:val="1"/>
    <w:link w:val="8"/>
    <w:unhideWhenUsed/>
    <w:uiPriority w:val="0"/>
    <w:rPr>
      <w:rFonts w:ascii="宋体" w:hAnsi="Courier New"/>
      <w:szCs w:val="20"/>
    </w:r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semiHidden/>
    <w:unhideWhenUsed/>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8">
    <w:name w:val="纯文本 Char"/>
    <w:basedOn w:val="5"/>
    <w:link w:val="2"/>
    <w:qFormat/>
    <w:uiPriority w:val="0"/>
    <w:rPr>
      <w:rFonts w:ascii="宋体" w:hAnsi="Courier New" w:eastAsia="宋体" w:cs="Times New Roman"/>
      <w:szCs w:val="20"/>
    </w:rPr>
  </w:style>
  <w:style w:type="character" w:customStyle="1" w:styleId="9">
    <w:name w:val="页眉 Char"/>
    <w:basedOn w:val="5"/>
    <w:link w:val="4"/>
    <w:semiHidden/>
    <w:qFormat/>
    <w:uiPriority w:val="99"/>
    <w:rPr>
      <w:rFonts w:ascii="Times New Roman" w:hAnsi="Times New Roman" w:eastAsia="宋体" w:cs="Times New Roman"/>
      <w:sz w:val="18"/>
      <w:szCs w:val="18"/>
    </w:rPr>
  </w:style>
  <w:style w:type="character" w:customStyle="1" w:styleId="10">
    <w:name w:val="页脚 Char"/>
    <w:basedOn w:val="5"/>
    <w:link w:val="3"/>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4</Pages>
  <Words>294</Words>
  <Characters>1681</Characters>
  <Lines>14</Lines>
  <Paragraphs>3</Paragraphs>
  <TotalTime>93</TotalTime>
  <ScaleCrop>false</ScaleCrop>
  <LinksUpToDate>false</LinksUpToDate>
  <CharactersWithSpaces>1972</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2016-02-29T10:01:00Z</dcterms:created>
  <dc:creator>USER</dc:creator>
  <cp:lastModifiedBy>TF-PC</cp:lastModifiedBy>
  <dcterms:modified xsi:type="dcterms:W3CDTF">2018-08-27T09:39:39Z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