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   （</w:t>
      </w:r>
      <w:r>
        <w:rPr>
          <w:rFonts w:hint="eastAsia" w:ascii="仿宋_GB2312" w:eastAsia="仿宋_GB2312"/>
          <w:sz w:val="32"/>
          <w:szCs w:val="32"/>
        </w:rPr>
        <w:t>2014）丽刑初字第244号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长江（身份证号码120110197811130317），男，1978年11月13日出生于天津市，汉族，高中文化，户籍地天津市东丽区新立街新兴村1区3排10号，现住天津市东丽区蓝庭国际5号楼605号。因本案于2014年3月24日被刑事拘留，同年4月4日被逮捕，现羁押于天津市东丽区看守所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刑诉（2014）208号起诉书指控被告人杨长江犯信用卡诈骗罪，于2014年5月12日向本院提起公诉。本院依法适用简易程序并组成合议庭，公开开庭审理了本案。天津市东丽区人民检察院指派代理检察员王秀鹏出庭支持公诉，被告人杨长江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指控，被告人杨长江于2012年5月30日在中信银行申领一张卡号为6226880006617377的信用卡，截止2013年6月27日其最后一次还款后，被告人杨长江尚欠银行本金人民币79506.42元。后经中信银行多次催收被告人一直未能归还，并改变联系方式，逃避银行催收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2014年3月24日，被告人杨长江被抓获归案。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杨长江在开庭审理过程中亦无异议，并有中信银行工作人员肖静的陈述、被告人杨长江申领信用卡的手续及交易流水、中信银行的报案材料及催收历史、案件来源及抓获经过的说明、被告人户籍证明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杨长江以非法占有为目的，没有还款能力仍大量透支，经发卡银行多次催收后超过三个月仍不归还，后改变联系方式，逃避还款，数额较大，其行为构成信用卡诈骗罪，依法应予以处罚，公诉机关指控意见正确，本院予以采纳。被告人杨长江归案后能如实供述犯罪事实，认罪态度较好，依法可从轻处罚。综上，本院依照《中华人民共和国刑法》第一百九十六条第一款第（四）项、第六十七条第三款、第六十四条之规定，判决如下：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一、被告人杨长江犯信用卡诈骗罪，判处有期徒刑三年六个月，并处罚金人民币30000元。</w:t>
      </w:r>
    </w:p>
    <w:p>
      <w:pPr>
        <w:spacing w:line="500" w:lineRule="exact"/>
        <w:ind w:right="-178" w:rightChars="-85"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（刑期自本判决执行之日起计算，判决执行以前先行羁押的，羁押一日折抵刑期一日，即自2014年3月24日起至2017年9月23日止）</w:t>
      </w:r>
    </w:p>
    <w:p>
      <w:pPr>
        <w:spacing w:line="500" w:lineRule="exact"/>
        <w:ind w:right="-178" w:rightChars="-85"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二、被告人杨长江于本判决生效后十日内退赔中信银行人民币</w:t>
      </w:r>
      <w:r>
        <w:rPr>
          <w:rFonts w:hint="eastAsia" w:ascii="仿宋_GB2312" w:eastAsia="仿宋_GB2312"/>
          <w:sz w:val="32"/>
        </w:rPr>
        <w:t>79506.42元。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（此页无正文）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孙宝芳</w:t>
      </w: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代理审判员   于振忠</w:t>
      </w: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人民陪审员   胡金英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800" w:firstLineChars="15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一四年五月二十七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 记  员   李  陆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 录  员   吴  伟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20" w:lineRule="exact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本判决（或裁定）所依据的相关法律、法规</w:t>
      </w:r>
    </w:p>
    <w:p>
      <w:pPr>
        <w:rPr>
          <w:rFonts w:hint="eastAsia" w:ascii="仿宋_GB2312" w:hAnsi="宋体" w:eastAsia="仿宋_GB2312"/>
          <w:color w:val="00000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（一）使用伪造的信用卡，或者使用以虚假身份证明骗领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的信用卡的；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（二）使用作废的信用卡的；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（三）冒用他人信用卡的；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（四）恶意透支的。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盗窃信用卡并使用的，依照本法第二百六十四条的规定定罪处罚。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四条：犯罪分子违法所得的一切赃物，应当予以追缴或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7366"/>
    <w:rsid w:val="00034E09"/>
    <w:rsid w:val="00037E8B"/>
    <w:rsid w:val="000420BB"/>
    <w:rsid w:val="0006157D"/>
    <w:rsid w:val="00063686"/>
    <w:rsid w:val="00073715"/>
    <w:rsid w:val="0007763A"/>
    <w:rsid w:val="00080429"/>
    <w:rsid w:val="00080E33"/>
    <w:rsid w:val="000A44DC"/>
    <w:rsid w:val="000C5C6A"/>
    <w:rsid w:val="000D3540"/>
    <w:rsid w:val="000D51E9"/>
    <w:rsid w:val="000F6971"/>
    <w:rsid w:val="0012293C"/>
    <w:rsid w:val="00133735"/>
    <w:rsid w:val="00165888"/>
    <w:rsid w:val="00165FCD"/>
    <w:rsid w:val="001722D9"/>
    <w:rsid w:val="0019132F"/>
    <w:rsid w:val="0019228E"/>
    <w:rsid w:val="001C6326"/>
    <w:rsid w:val="002202BE"/>
    <w:rsid w:val="0022233E"/>
    <w:rsid w:val="002263AB"/>
    <w:rsid w:val="00246689"/>
    <w:rsid w:val="002508C1"/>
    <w:rsid w:val="00285095"/>
    <w:rsid w:val="002A7CFE"/>
    <w:rsid w:val="002B25D0"/>
    <w:rsid w:val="002D27BD"/>
    <w:rsid w:val="00312C1E"/>
    <w:rsid w:val="00314201"/>
    <w:rsid w:val="00321F1F"/>
    <w:rsid w:val="0035221B"/>
    <w:rsid w:val="00353406"/>
    <w:rsid w:val="00354B5C"/>
    <w:rsid w:val="00355224"/>
    <w:rsid w:val="00372699"/>
    <w:rsid w:val="003A08E8"/>
    <w:rsid w:val="003C107B"/>
    <w:rsid w:val="003C3FD4"/>
    <w:rsid w:val="003E175F"/>
    <w:rsid w:val="003E1915"/>
    <w:rsid w:val="00402602"/>
    <w:rsid w:val="00420CFC"/>
    <w:rsid w:val="00426450"/>
    <w:rsid w:val="004337D0"/>
    <w:rsid w:val="00457414"/>
    <w:rsid w:val="0047495F"/>
    <w:rsid w:val="00496F24"/>
    <w:rsid w:val="004A2425"/>
    <w:rsid w:val="004B598E"/>
    <w:rsid w:val="004B7E35"/>
    <w:rsid w:val="004E65EE"/>
    <w:rsid w:val="00511A26"/>
    <w:rsid w:val="005146E9"/>
    <w:rsid w:val="0054343B"/>
    <w:rsid w:val="00571A19"/>
    <w:rsid w:val="00575AF5"/>
    <w:rsid w:val="005B58B8"/>
    <w:rsid w:val="005C1C66"/>
    <w:rsid w:val="005C58A8"/>
    <w:rsid w:val="005D173B"/>
    <w:rsid w:val="005F3386"/>
    <w:rsid w:val="005F3DF3"/>
    <w:rsid w:val="005F7FD1"/>
    <w:rsid w:val="0061445B"/>
    <w:rsid w:val="006159E4"/>
    <w:rsid w:val="00637A70"/>
    <w:rsid w:val="00640143"/>
    <w:rsid w:val="006406FD"/>
    <w:rsid w:val="0065131A"/>
    <w:rsid w:val="00654D6F"/>
    <w:rsid w:val="00671418"/>
    <w:rsid w:val="006D60DC"/>
    <w:rsid w:val="0071768D"/>
    <w:rsid w:val="00740740"/>
    <w:rsid w:val="00754BC5"/>
    <w:rsid w:val="00756A3B"/>
    <w:rsid w:val="00780D67"/>
    <w:rsid w:val="007871F6"/>
    <w:rsid w:val="007B3CC4"/>
    <w:rsid w:val="0081120E"/>
    <w:rsid w:val="00825E71"/>
    <w:rsid w:val="00833178"/>
    <w:rsid w:val="008553DB"/>
    <w:rsid w:val="008717EF"/>
    <w:rsid w:val="008D68FE"/>
    <w:rsid w:val="009029D9"/>
    <w:rsid w:val="00913E2C"/>
    <w:rsid w:val="00920442"/>
    <w:rsid w:val="00922851"/>
    <w:rsid w:val="00933C35"/>
    <w:rsid w:val="00941027"/>
    <w:rsid w:val="00950D74"/>
    <w:rsid w:val="009830F7"/>
    <w:rsid w:val="009A12E5"/>
    <w:rsid w:val="009B02B8"/>
    <w:rsid w:val="009C584C"/>
    <w:rsid w:val="009D7570"/>
    <w:rsid w:val="009E5B1D"/>
    <w:rsid w:val="00A02AB7"/>
    <w:rsid w:val="00A16788"/>
    <w:rsid w:val="00A16ED1"/>
    <w:rsid w:val="00A211CA"/>
    <w:rsid w:val="00A2222A"/>
    <w:rsid w:val="00A41D4D"/>
    <w:rsid w:val="00A51132"/>
    <w:rsid w:val="00A5263B"/>
    <w:rsid w:val="00A61573"/>
    <w:rsid w:val="00A7314A"/>
    <w:rsid w:val="00A80850"/>
    <w:rsid w:val="00A83AFD"/>
    <w:rsid w:val="00AA551E"/>
    <w:rsid w:val="00AB327E"/>
    <w:rsid w:val="00AD39D8"/>
    <w:rsid w:val="00B074CD"/>
    <w:rsid w:val="00B42C99"/>
    <w:rsid w:val="00B9252C"/>
    <w:rsid w:val="00BA2B6F"/>
    <w:rsid w:val="00C33BA3"/>
    <w:rsid w:val="00C84795"/>
    <w:rsid w:val="00CC5C22"/>
    <w:rsid w:val="00CD6F46"/>
    <w:rsid w:val="00CE7032"/>
    <w:rsid w:val="00D378DB"/>
    <w:rsid w:val="00D45CA0"/>
    <w:rsid w:val="00D46A0F"/>
    <w:rsid w:val="00D75878"/>
    <w:rsid w:val="00D806EA"/>
    <w:rsid w:val="00DA52E9"/>
    <w:rsid w:val="00DE30AD"/>
    <w:rsid w:val="00DE42F4"/>
    <w:rsid w:val="00E00AFF"/>
    <w:rsid w:val="00E023F4"/>
    <w:rsid w:val="00E13356"/>
    <w:rsid w:val="00E247F6"/>
    <w:rsid w:val="00E34897"/>
    <w:rsid w:val="00E402EF"/>
    <w:rsid w:val="00E459F6"/>
    <w:rsid w:val="00E648AB"/>
    <w:rsid w:val="00E71C77"/>
    <w:rsid w:val="00E850AC"/>
    <w:rsid w:val="00EB352F"/>
    <w:rsid w:val="00ED4BCF"/>
    <w:rsid w:val="00ED6442"/>
    <w:rsid w:val="00EE34F7"/>
    <w:rsid w:val="00EE4323"/>
    <w:rsid w:val="00F206BC"/>
    <w:rsid w:val="00F22038"/>
    <w:rsid w:val="00F3036F"/>
    <w:rsid w:val="00F64782"/>
    <w:rsid w:val="00F67868"/>
    <w:rsid w:val="00F774D5"/>
    <w:rsid w:val="00F84DD5"/>
    <w:rsid w:val="00F935D1"/>
    <w:rsid w:val="00FA24F9"/>
    <w:rsid w:val="00FA44C1"/>
    <w:rsid w:val="00FC2990"/>
    <w:rsid w:val="3E1E7509"/>
    <w:rsid w:val="44817821"/>
    <w:rsid w:val="732B6874"/>
    <w:rsid w:val="79632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304</Words>
  <Characters>1737</Characters>
  <Lines>14</Lines>
  <Paragraphs>4</Paragraphs>
  <TotalTime>0</TotalTime>
  <ScaleCrop>false</ScaleCrop>
  <LinksUpToDate>false</LinksUpToDate>
  <CharactersWithSpaces>2037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2014-05-23T02:53:00Z</dcterms:created>
  <dc:creator>qq</dc:creator>
  <cp:lastModifiedBy>TF-PC</cp:lastModifiedBy>
  <dcterms:modified xsi:type="dcterms:W3CDTF">2018-08-27T09:39:46Z</dcterms:modified>
  <dc:title>天津市东丽区人民法院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