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360" w:lineRule="auto"/>
        <w:jc w:val="center"/>
        <w:rPr>
          <w:rFonts w:hint="eastAsia" w:ascii="楷体" w:hAnsi="楷体" w:eastAsia="楷体"/>
          <w:sz w:val="44"/>
          <w:szCs w:val="44"/>
        </w:rPr>
      </w:pPr>
      <w:bookmarkStart w:id="0" w:name="_GoBack"/>
      <w:bookmarkEnd w:id="0"/>
      <w:r>
        <w:rPr>
          <w:rFonts w:ascii="楷体" w:hAnsi="楷体" w:eastAsia="楷体"/>
          <w:sz w:val="44"/>
          <w:szCs w:val="44"/>
        </w:rPr>
        <w:t>天津市河西区人民法院</w:t>
      </w:r>
    </w:p>
    <w:p>
      <w:pPr>
        <w:pStyle w:val="5"/>
        <w:spacing w:line="360" w:lineRule="auto"/>
        <w:jc w:val="center"/>
        <w:rPr>
          <w:rFonts w:ascii="黑体" w:hAnsi="黑体" w:eastAsia="黑体"/>
          <w:bCs/>
          <w:sz w:val="52"/>
          <w:szCs w:val="52"/>
        </w:rPr>
      </w:pPr>
      <w:r>
        <w:rPr>
          <w:rFonts w:ascii="黑体" w:hAnsi="黑体" w:eastAsia="黑体"/>
          <w:sz w:val="52"/>
          <w:szCs w:val="52"/>
        </w:rPr>
        <w:t>刑</w:t>
      </w:r>
      <w:r>
        <w:rPr>
          <w:rFonts w:hint="eastAsia" w:ascii="黑体" w:hAnsi="黑体" w:eastAsia="黑体"/>
          <w:sz w:val="52"/>
          <w:szCs w:val="52"/>
        </w:rPr>
        <w:t xml:space="preserve"> </w:t>
      </w:r>
      <w:r>
        <w:rPr>
          <w:rFonts w:ascii="黑体" w:hAnsi="黑体" w:eastAsia="黑体"/>
          <w:sz w:val="52"/>
          <w:szCs w:val="52"/>
        </w:rPr>
        <w:t>事</w:t>
      </w:r>
      <w:r>
        <w:rPr>
          <w:rFonts w:hint="eastAsia" w:ascii="黑体" w:hAnsi="黑体" w:eastAsia="黑体"/>
          <w:sz w:val="52"/>
          <w:szCs w:val="52"/>
        </w:rPr>
        <w:t xml:space="preserve"> </w:t>
      </w:r>
      <w:r>
        <w:rPr>
          <w:rFonts w:ascii="黑体" w:hAnsi="黑体" w:eastAsia="黑体"/>
          <w:sz w:val="52"/>
          <w:szCs w:val="52"/>
        </w:rPr>
        <w:t>判</w:t>
      </w:r>
      <w:r>
        <w:rPr>
          <w:rFonts w:hint="eastAsia" w:ascii="黑体" w:hAnsi="黑体" w:eastAsia="黑体"/>
          <w:sz w:val="52"/>
          <w:szCs w:val="52"/>
        </w:rPr>
        <w:t xml:space="preserve"> </w:t>
      </w:r>
      <w:r>
        <w:rPr>
          <w:rFonts w:ascii="黑体" w:hAnsi="黑体" w:eastAsia="黑体"/>
          <w:sz w:val="52"/>
          <w:szCs w:val="52"/>
        </w:rPr>
        <w:t>决</w:t>
      </w:r>
      <w:r>
        <w:rPr>
          <w:rFonts w:hint="eastAsia" w:ascii="黑体" w:hAnsi="黑体" w:eastAsia="黑体"/>
          <w:sz w:val="52"/>
          <w:szCs w:val="52"/>
        </w:rPr>
        <w:t xml:space="preserve"> </w:t>
      </w:r>
      <w:r>
        <w:rPr>
          <w:rFonts w:ascii="黑体" w:hAnsi="黑体" w:eastAsia="黑体"/>
          <w:sz w:val="52"/>
          <w:szCs w:val="52"/>
        </w:rPr>
        <w:t>书</w:t>
      </w:r>
    </w:p>
    <w:p>
      <w:pPr>
        <w:pStyle w:val="2"/>
        <w:wordWrap w:val="0"/>
        <w:spacing w:line="560" w:lineRule="exact"/>
        <w:ind w:left="-2" w:firstLine="526"/>
        <w:jc w:val="right"/>
        <w:rPr>
          <w:rFonts w:hint="eastAsia"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 xml:space="preserve">                </w:t>
      </w:r>
      <w:r>
        <w:rPr>
          <w:rFonts w:hint="eastAsia" w:ascii="Times New Roman" w:hAnsi="Times New Roman" w:eastAsia="仿宋_GB2312"/>
          <w:sz w:val="32"/>
          <w:szCs w:val="32"/>
        </w:rPr>
        <w:t xml:space="preserve"> </w:t>
      </w:r>
    </w:p>
    <w:p>
      <w:pPr>
        <w:pStyle w:val="2"/>
        <w:spacing w:line="560" w:lineRule="exact"/>
        <w:ind w:left="-2" w:firstLine="526"/>
        <w:jc w:val="right"/>
        <w:rPr>
          <w:rFonts w:hint="eastAsia"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 xml:space="preserve"> (2016)津0103刑初375号</w:t>
      </w:r>
    </w:p>
    <w:p>
      <w:pPr>
        <w:pStyle w:val="2"/>
        <w:spacing w:line="560" w:lineRule="exact"/>
        <w:ind w:left="-2" w:firstLine="526"/>
        <w:jc w:val="right"/>
        <w:rPr>
          <w:rFonts w:hint="eastAsia" w:eastAsia="仿宋_GB2312"/>
          <w:sz w:val="32"/>
          <w:szCs w:val="32"/>
        </w:rPr>
      </w:pPr>
    </w:p>
    <w:p>
      <w:pPr>
        <w:pStyle w:val="2"/>
        <w:spacing w:line="560" w:lineRule="exact"/>
        <w:ind w:left="-2" w:leftChars="-1" w:firstLine="844" w:firstLineChars="264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公诉机关天津市河西区人民检察院。</w:t>
      </w:r>
    </w:p>
    <w:p>
      <w:pPr>
        <w:pStyle w:val="2"/>
        <w:spacing w:line="500" w:lineRule="exact"/>
        <w:ind w:firstLine="800" w:firstLineChars="250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被告人张杰，女，1964年1月9日出生，公民身份号码:120101196401092521, 汉族，高中文化，无职业，住天津市西青区绥江道富力津门湖云舒花园14-1-402，户籍地天津市南开区龙川路美丽心殿15-1-1502，2015年12月16日因涉嫌犯有信用卡诈骗罪被取保候审。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天津市河西区人民检察院以津西检公诉刑诉[201</w:t>
      </w:r>
      <w:r>
        <w:rPr>
          <w:rFonts w:hint="eastAsia"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]355号起诉书指控被告人张杰犯信用卡诈骗罪，于201</w:t>
      </w:r>
      <w:r>
        <w:rPr>
          <w:rFonts w:hint="eastAsia"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年6月6日向本院提起公诉，并提出量刑建议。</w:t>
      </w:r>
      <w:r>
        <w:rPr>
          <w:rFonts w:hAnsi="仿宋" w:eastAsia="仿宋"/>
          <w:bCs/>
          <w:sz w:val="32"/>
          <w:szCs w:val="32"/>
        </w:rPr>
        <w:t>本院依法组成合议庭，公开开庭对本案进行了审理。天津市河西区人民检察院指派检察员</w:t>
      </w:r>
      <w:r>
        <w:rPr>
          <w:rFonts w:hint="eastAsia" w:hAnsi="仿宋" w:eastAsia="仿宋"/>
          <w:bCs/>
          <w:sz w:val="32"/>
          <w:szCs w:val="32"/>
        </w:rPr>
        <w:t>李康蕊</w:t>
      </w:r>
      <w:r>
        <w:rPr>
          <w:rFonts w:hAnsi="仿宋" w:eastAsia="仿宋"/>
          <w:bCs/>
          <w:sz w:val="32"/>
          <w:szCs w:val="32"/>
        </w:rPr>
        <w:t>出庭支持公诉</w:t>
      </w:r>
      <w:r>
        <w:rPr>
          <w:rFonts w:eastAsia="仿宋_GB2312"/>
          <w:sz w:val="32"/>
          <w:szCs w:val="32"/>
        </w:rPr>
        <w:t>。被告人张杰</w:t>
      </w:r>
      <w:r>
        <w:rPr>
          <w:rFonts w:hint="eastAsia" w:eastAsia="仿宋_GB2312"/>
          <w:sz w:val="32"/>
          <w:szCs w:val="32"/>
        </w:rPr>
        <w:t>,</w:t>
      </w:r>
      <w:r>
        <w:rPr>
          <w:rFonts w:hAnsi="仿宋" w:eastAsia="仿宋"/>
          <w:sz w:val="32"/>
          <w:szCs w:val="32"/>
        </w:rPr>
        <w:t>公诉机关</w:t>
      </w:r>
      <w:r>
        <w:rPr>
          <w:rFonts w:hint="eastAsia" w:hAnsi="仿宋" w:eastAsia="仿宋"/>
          <w:sz w:val="32"/>
          <w:szCs w:val="32"/>
        </w:rPr>
        <w:t>申请的证人高源</w:t>
      </w:r>
      <w:r>
        <w:rPr>
          <w:rFonts w:eastAsia="仿宋_GB2312"/>
          <w:sz w:val="32"/>
          <w:szCs w:val="32"/>
        </w:rPr>
        <w:t>到庭参加了诉讼。现已审理终结。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经审理查明</w:t>
      </w:r>
      <w:r>
        <w:rPr>
          <w:rFonts w:eastAsia="仿宋_GB2312"/>
          <w:sz w:val="32"/>
          <w:szCs w:val="32"/>
        </w:rPr>
        <w:t>，20</w:t>
      </w:r>
      <w:r>
        <w:rPr>
          <w:rFonts w:hint="eastAsia"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间</w:t>
      </w:r>
      <w:r>
        <w:rPr>
          <w:rFonts w:eastAsia="仿宋_GB2312"/>
          <w:sz w:val="32"/>
          <w:szCs w:val="32"/>
        </w:rPr>
        <w:t>，被告人张杰在上海浦东发展银行天津分</w:t>
      </w:r>
      <w:r>
        <w:rPr>
          <w:rFonts w:hint="eastAsia" w:eastAsia="仿宋_GB2312"/>
          <w:sz w:val="32"/>
          <w:szCs w:val="32"/>
        </w:rPr>
        <w:t>行</w:t>
      </w:r>
      <w:r>
        <w:rPr>
          <w:rFonts w:eastAsia="仿宋_GB2312"/>
          <w:sz w:val="32"/>
          <w:szCs w:val="32"/>
        </w:rPr>
        <w:t>申领信用卡一张，卡号为</w:t>
      </w:r>
      <w:r>
        <w:rPr>
          <w:rFonts w:hint="eastAsia" w:eastAsia="仿宋_GB2312"/>
          <w:sz w:val="32"/>
          <w:szCs w:val="32"/>
        </w:rPr>
        <w:t>4984511203899131</w:t>
      </w:r>
      <w:r>
        <w:rPr>
          <w:rFonts w:eastAsia="仿宋_GB2312"/>
          <w:sz w:val="32"/>
          <w:szCs w:val="32"/>
        </w:rPr>
        <w:t>。后被告人张杰使用该卡透支</w:t>
      </w:r>
      <w:r>
        <w:rPr>
          <w:rFonts w:hint="eastAsia" w:eastAsia="仿宋_GB2312"/>
          <w:sz w:val="32"/>
          <w:szCs w:val="32"/>
        </w:rPr>
        <w:t>款项用于生意周转</w:t>
      </w:r>
      <w:r>
        <w:rPr>
          <w:rFonts w:eastAsia="仿宋_GB2312"/>
          <w:sz w:val="32"/>
          <w:szCs w:val="32"/>
        </w:rPr>
        <w:t>。至 201</w:t>
      </w:r>
      <w:r>
        <w:rPr>
          <w:rFonts w:hint="eastAsia"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16</w:t>
      </w:r>
      <w:r>
        <w:rPr>
          <w:rFonts w:eastAsia="仿宋_GB2312"/>
          <w:sz w:val="32"/>
          <w:szCs w:val="32"/>
        </w:rPr>
        <w:t>日被告人张杰最后一次还款人民币</w:t>
      </w:r>
      <w:r>
        <w:rPr>
          <w:rFonts w:hint="eastAsia" w:eastAsia="仿宋_GB2312"/>
          <w:sz w:val="32"/>
          <w:szCs w:val="32"/>
        </w:rPr>
        <w:t>5000</w:t>
      </w:r>
      <w:r>
        <w:rPr>
          <w:rFonts w:eastAsia="仿宋_GB2312"/>
          <w:sz w:val="32"/>
          <w:szCs w:val="32"/>
        </w:rPr>
        <w:t>元后，经上海浦东发展银行天津分</w:t>
      </w:r>
      <w:r>
        <w:rPr>
          <w:rFonts w:hint="eastAsia" w:eastAsia="仿宋_GB2312"/>
          <w:sz w:val="32"/>
          <w:szCs w:val="32"/>
        </w:rPr>
        <w:t>行</w:t>
      </w:r>
      <w:r>
        <w:rPr>
          <w:rFonts w:eastAsia="仿宋_GB2312"/>
          <w:sz w:val="32"/>
          <w:szCs w:val="32"/>
        </w:rPr>
        <w:t>多次催收未果。截至201</w:t>
      </w:r>
      <w:r>
        <w:rPr>
          <w:rFonts w:hint="eastAsia"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月1</w:t>
      </w:r>
      <w:r>
        <w:rPr>
          <w:rFonts w:hint="eastAsia"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日，透支本金人民币</w:t>
      </w:r>
      <w:r>
        <w:rPr>
          <w:rFonts w:hint="eastAsia" w:eastAsia="仿宋_GB2312"/>
          <w:sz w:val="32"/>
          <w:szCs w:val="32"/>
        </w:rPr>
        <w:t>84103.23</w:t>
      </w:r>
      <w:r>
        <w:rPr>
          <w:rFonts w:eastAsia="仿宋_GB2312"/>
          <w:sz w:val="32"/>
          <w:szCs w:val="32"/>
        </w:rPr>
        <w:t>元，201</w:t>
      </w:r>
      <w:r>
        <w:rPr>
          <w:rFonts w:hint="eastAsia"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16</w:t>
      </w:r>
      <w:r>
        <w:rPr>
          <w:rFonts w:eastAsia="仿宋_GB2312"/>
          <w:sz w:val="32"/>
          <w:szCs w:val="32"/>
        </w:rPr>
        <w:t>日被告人张杰</w:t>
      </w:r>
      <w:r>
        <w:rPr>
          <w:rFonts w:hint="eastAsia" w:eastAsia="仿宋_GB2312"/>
          <w:sz w:val="32"/>
          <w:szCs w:val="32"/>
        </w:rPr>
        <w:t>接</w:t>
      </w:r>
      <w:r>
        <w:rPr>
          <w:rFonts w:eastAsia="仿宋_GB2312"/>
          <w:sz w:val="32"/>
          <w:szCs w:val="32"/>
        </w:rPr>
        <w:t>公安机关</w:t>
      </w:r>
      <w:r>
        <w:rPr>
          <w:rFonts w:hint="eastAsia" w:eastAsia="仿宋_GB2312"/>
          <w:sz w:val="32"/>
          <w:szCs w:val="32"/>
        </w:rPr>
        <w:t>电话后主动到案</w:t>
      </w:r>
      <w:r>
        <w:rPr>
          <w:rFonts w:eastAsia="仿宋_GB2312"/>
          <w:sz w:val="32"/>
          <w:szCs w:val="32"/>
        </w:rPr>
        <w:t>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案发后，被告人张杰偿还了上海浦东发展银行全部欠款。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庭审中，被告人张杰对起诉书指控的犯罪事实不表异议，并表示认罪。且有被害单位的委托代理人</w:t>
      </w:r>
      <w:r>
        <w:rPr>
          <w:rFonts w:hint="eastAsia" w:eastAsia="仿宋_GB2312"/>
          <w:sz w:val="32"/>
          <w:szCs w:val="32"/>
        </w:rPr>
        <w:t>胡某</w:t>
      </w:r>
      <w:r>
        <w:rPr>
          <w:rFonts w:eastAsia="仿宋_GB2312"/>
          <w:sz w:val="32"/>
          <w:szCs w:val="32"/>
        </w:rPr>
        <w:t>某的陈述，</w:t>
      </w:r>
      <w:r>
        <w:rPr>
          <w:rFonts w:hAnsi="仿宋" w:eastAsia="仿宋"/>
          <w:sz w:val="32"/>
          <w:szCs w:val="32"/>
        </w:rPr>
        <w:t>公诉机关</w:t>
      </w:r>
      <w:r>
        <w:rPr>
          <w:rFonts w:hint="eastAsia" w:hAnsi="仿宋" w:eastAsia="仿宋"/>
          <w:sz w:val="32"/>
          <w:szCs w:val="32"/>
        </w:rPr>
        <w:t>申请的证人高源的证</w:t>
      </w:r>
      <w:r>
        <w:rPr>
          <w:rFonts w:hAnsi="仿宋" w:eastAsia="仿宋"/>
          <w:kern w:val="0"/>
          <w:sz w:val="32"/>
          <w:szCs w:val="32"/>
        </w:rPr>
        <w:t>言</w:t>
      </w:r>
      <w:r>
        <w:rPr>
          <w:rFonts w:hint="eastAsia" w:hAnsi="仿宋" w:eastAsia="仿宋"/>
          <w:kern w:val="0"/>
          <w:sz w:val="32"/>
          <w:szCs w:val="32"/>
        </w:rPr>
        <w:t>,</w:t>
      </w:r>
      <w:r>
        <w:rPr>
          <w:rFonts w:eastAsia="仿宋_GB2312"/>
          <w:sz w:val="32"/>
          <w:szCs w:val="32"/>
        </w:rPr>
        <w:t>信用卡申领表，信用卡催收记录，上海浦东发展银行天津分</w:t>
      </w:r>
      <w:r>
        <w:rPr>
          <w:rFonts w:hint="eastAsia" w:eastAsia="仿宋_GB2312"/>
          <w:sz w:val="32"/>
          <w:szCs w:val="32"/>
        </w:rPr>
        <w:t>行</w:t>
      </w:r>
      <w:r>
        <w:rPr>
          <w:rFonts w:eastAsia="仿宋_GB2312"/>
          <w:sz w:val="32"/>
          <w:szCs w:val="32"/>
        </w:rPr>
        <w:t>的举报材料，案件来源及被告人到案经过等书证材料证实，足以认定。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本院认为，被告人张杰法律意识淡漠，以非法占有为目的，持卡恶意透支人民币</w:t>
      </w:r>
      <w:r>
        <w:rPr>
          <w:rFonts w:hint="eastAsia" w:eastAsia="仿宋_GB2312"/>
          <w:sz w:val="32"/>
          <w:szCs w:val="32"/>
        </w:rPr>
        <w:t>84000</w:t>
      </w:r>
      <w:r>
        <w:rPr>
          <w:rFonts w:eastAsia="仿宋_GB2312"/>
          <w:sz w:val="32"/>
          <w:szCs w:val="32"/>
        </w:rPr>
        <w:t>余元，数额较大，经发卡银行多次催收，拒不归还，其行为已构成信用卡诈骗罪。</w:t>
      </w:r>
      <w:r>
        <w:rPr>
          <w:rFonts w:eastAsia="仿宋_GB2312"/>
          <w:bCs/>
          <w:sz w:val="32"/>
          <w:szCs w:val="32"/>
        </w:rPr>
        <w:t>天津市河西区人民检察院指控被告人</w:t>
      </w:r>
      <w:r>
        <w:rPr>
          <w:rFonts w:eastAsia="仿宋_GB2312"/>
          <w:sz w:val="32"/>
          <w:szCs w:val="32"/>
        </w:rPr>
        <w:t>张杰</w:t>
      </w:r>
      <w:r>
        <w:rPr>
          <w:rFonts w:eastAsia="仿宋_GB2312"/>
          <w:bCs/>
          <w:sz w:val="32"/>
          <w:szCs w:val="32"/>
        </w:rPr>
        <w:t>犯</w:t>
      </w:r>
      <w:r>
        <w:rPr>
          <w:rFonts w:eastAsia="仿宋_GB2312"/>
          <w:sz w:val="32"/>
          <w:szCs w:val="32"/>
        </w:rPr>
        <w:t>信用卡诈骗</w:t>
      </w:r>
      <w:r>
        <w:rPr>
          <w:rFonts w:eastAsia="仿宋_GB2312"/>
          <w:bCs/>
          <w:sz w:val="32"/>
          <w:szCs w:val="32"/>
        </w:rPr>
        <w:t>罪事实清楚，证据充分，罪名成立，本院予以支持。</w:t>
      </w:r>
      <w:r>
        <w:rPr>
          <w:rFonts w:eastAsia="仿宋_GB2312"/>
          <w:sz w:val="32"/>
          <w:szCs w:val="32"/>
        </w:rPr>
        <w:t>被告人张杰</w:t>
      </w:r>
      <w:r>
        <w:rPr>
          <w:rFonts w:hint="eastAsia" w:eastAsia="仿宋_GB2312"/>
          <w:sz w:val="32"/>
          <w:szCs w:val="32"/>
        </w:rPr>
        <w:t>主动到案，并</w:t>
      </w:r>
      <w:r>
        <w:rPr>
          <w:rFonts w:eastAsia="仿宋_GB2312"/>
          <w:sz w:val="32"/>
          <w:szCs w:val="32"/>
        </w:rPr>
        <w:t>如实供述自己的犯罪事实，</w:t>
      </w:r>
      <w:r>
        <w:rPr>
          <w:rFonts w:hint="eastAsia" w:eastAsia="仿宋_GB2312"/>
          <w:sz w:val="32"/>
          <w:szCs w:val="32"/>
        </w:rPr>
        <w:t>是自首，</w:t>
      </w:r>
      <w:r>
        <w:rPr>
          <w:rFonts w:eastAsia="仿宋_GB2312"/>
          <w:kern w:val="0"/>
          <w:sz w:val="32"/>
          <w:szCs w:val="32"/>
        </w:rPr>
        <w:t>依法可以</w:t>
      </w:r>
      <w:r>
        <w:rPr>
          <w:rFonts w:eastAsia="仿宋_GB2312"/>
          <w:sz w:val="32"/>
          <w:szCs w:val="32"/>
        </w:rPr>
        <w:t>从轻处罚。为严肃国家法律，维护金融管理秩序，同时考虑案发后被告人张杰认罪态度较好，已退缴全部赃款，有悔罪表现之情节，依照《中华人民共和国刑法》第一百九十六条第一款第（四）项、第二款、</w:t>
      </w:r>
      <w:r>
        <w:rPr>
          <w:rFonts w:eastAsia="仿宋_GB2312"/>
          <w:kern w:val="0"/>
          <w:sz w:val="32"/>
          <w:szCs w:val="32"/>
        </w:rPr>
        <w:t>第六十七条第</w:t>
      </w:r>
      <w:r>
        <w:rPr>
          <w:rFonts w:hint="eastAsia" w:eastAsia="仿宋_GB2312"/>
          <w:kern w:val="0"/>
          <w:sz w:val="32"/>
          <w:szCs w:val="32"/>
        </w:rPr>
        <w:t>一</w:t>
      </w:r>
      <w:r>
        <w:rPr>
          <w:rFonts w:eastAsia="仿宋_GB2312"/>
          <w:kern w:val="0"/>
          <w:sz w:val="32"/>
          <w:szCs w:val="32"/>
        </w:rPr>
        <w:t>款</w:t>
      </w:r>
      <w:r>
        <w:rPr>
          <w:rFonts w:eastAsia="仿宋_GB2312"/>
          <w:sz w:val="32"/>
          <w:szCs w:val="32"/>
        </w:rPr>
        <w:t>、第七十二条、第七十三条第二款、第三款、第七十五条、第七十六条之规定，判决如下：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一、被告人张杰犯信用卡诈骗罪，判处有期徒刑</w:t>
      </w:r>
      <w:r>
        <w:rPr>
          <w:rFonts w:hint="eastAsia" w:eastAsia="仿宋_GB2312"/>
          <w:sz w:val="32"/>
          <w:szCs w:val="32"/>
        </w:rPr>
        <w:t>三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缓刑</w:t>
      </w:r>
      <w:r>
        <w:rPr>
          <w:rFonts w:hint="eastAsia" w:eastAsia="仿宋_GB2312"/>
          <w:sz w:val="32"/>
          <w:szCs w:val="32"/>
        </w:rPr>
        <w:t>三</w:t>
      </w:r>
      <w:r>
        <w:rPr>
          <w:rFonts w:eastAsia="仿宋_GB2312"/>
          <w:sz w:val="32"/>
          <w:szCs w:val="32"/>
        </w:rPr>
        <w:t>年，罚金人民币20000元。在刑罚执行期间，被告人张杰应当接受相关组织的社区矫正。</w:t>
      </w:r>
    </w:p>
    <w:p>
      <w:pPr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bCs/>
          <w:kern w:val="0"/>
          <w:sz w:val="32"/>
          <w:szCs w:val="32"/>
          <w:lang w:val="zh-CN"/>
        </w:rPr>
        <w:t>（缓刑考验期限，从判决确定之日起计算。）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二、禁止被告人张杰在缓刑期间从事金融借贷及与金融相关的担保活动。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如不服本判决，可在接到判决书的第二日起十日内，通过本院或者直接向天津市第二中级法院提出上诉，书面上诉的应交上诉状正本一份，副本两份。               </w:t>
      </w:r>
    </w:p>
    <w:p>
      <w:pPr>
        <w:spacing w:line="500" w:lineRule="exac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          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left="1290" w:right="160"/>
        <w:jc w:val="right"/>
        <w:rPr>
          <w:rFonts w:ascii="仿宋_GB2312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审</w:t>
      </w:r>
      <w:r>
        <w:rPr>
          <w:rFonts w:hint="eastAsia" w:ascii="仿宋_GB2312" w:eastAsia="仿宋_GB2312"/>
          <w:sz w:val="32"/>
          <w:szCs w:val="32"/>
        </w:rPr>
        <w:t xml:space="preserve">  </w:t>
      </w:r>
      <w:r>
        <w:rPr>
          <w:rFonts w:hint="eastAsia" w:ascii="仿宋_GB2312" w:hAnsi="仿宋" w:eastAsia="仿宋_GB2312"/>
          <w:sz w:val="32"/>
          <w:szCs w:val="32"/>
        </w:rPr>
        <w:t>判</w:t>
      </w:r>
      <w:r>
        <w:rPr>
          <w:rFonts w:hint="eastAsia" w:ascii="仿宋_GB2312" w:eastAsia="仿宋_GB2312"/>
          <w:sz w:val="32"/>
          <w:szCs w:val="32"/>
        </w:rPr>
        <w:t xml:space="preserve">  </w:t>
      </w:r>
      <w:r>
        <w:rPr>
          <w:rFonts w:hint="eastAsia" w:ascii="仿宋_GB2312" w:hAnsi="仿宋" w:eastAsia="仿宋_GB2312"/>
          <w:sz w:val="32"/>
          <w:szCs w:val="32"/>
        </w:rPr>
        <w:t>长</w:t>
      </w:r>
      <w:r>
        <w:rPr>
          <w:rFonts w:hint="eastAsia" w:ascii="仿宋_GB2312" w:eastAsia="仿宋_GB2312"/>
          <w:sz w:val="32"/>
          <w:szCs w:val="32"/>
        </w:rPr>
        <w:t xml:space="preserve">  </w:t>
      </w:r>
      <w:r>
        <w:rPr>
          <w:rFonts w:hint="eastAsia" w:ascii="仿宋_GB2312" w:hAnsi="仿宋" w:eastAsia="仿宋_GB2312"/>
          <w:sz w:val="32"/>
          <w:szCs w:val="32"/>
        </w:rPr>
        <w:t>王</w:t>
      </w:r>
      <w:r>
        <w:rPr>
          <w:rFonts w:hint="eastAsia" w:ascii="仿宋_GB2312" w:eastAsia="仿宋_GB2312"/>
          <w:sz w:val="32"/>
          <w:szCs w:val="32"/>
        </w:rPr>
        <w:t xml:space="preserve">  </w:t>
      </w:r>
      <w:r>
        <w:rPr>
          <w:rFonts w:hint="eastAsia" w:ascii="仿宋_GB2312" w:hAnsi="仿宋" w:eastAsia="仿宋_GB2312"/>
          <w:sz w:val="32"/>
          <w:szCs w:val="32"/>
        </w:rPr>
        <w:t>健</w:t>
      </w:r>
    </w:p>
    <w:p>
      <w:pPr>
        <w:spacing w:line="500" w:lineRule="exact"/>
        <w:ind w:left="1290" w:right="160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代理审判员</w:t>
      </w:r>
      <w:r>
        <w:rPr>
          <w:rFonts w:hint="eastAsia" w:ascii="仿宋_GB2312" w:eastAsia="仿宋_GB2312"/>
          <w:sz w:val="32"/>
          <w:szCs w:val="32"/>
        </w:rPr>
        <w:t xml:space="preserve">  </w:t>
      </w:r>
      <w:r>
        <w:rPr>
          <w:rFonts w:hint="eastAsia" w:ascii="仿宋_GB2312" w:hAnsi="仿宋" w:eastAsia="仿宋_GB2312"/>
          <w:sz w:val="32"/>
          <w:szCs w:val="32"/>
        </w:rPr>
        <w:t>刘</w:t>
      </w:r>
      <w:r>
        <w:rPr>
          <w:rFonts w:hint="eastAsia" w:ascii="仿宋_GB2312" w:eastAsia="仿宋_GB2312"/>
          <w:sz w:val="32"/>
          <w:szCs w:val="32"/>
        </w:rPr>
        <w:t>丛薇</w:t>
      </w:r>
    </w:p>
    <w:p>
      <w:pPr>
        <w:spacing w:line="500" w:lineRule="exact"/>
        <w:jc w:val="center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 xml:space="preserve">                               人民陪审员  </w:t>
      </w:r>
      <w:r>
        <w:rPr>
          <w:rFonts w:hint="eastAsia" w:ascii="仿宋_GB2312" w:hAnsi="Arial" w:eastAsia="仿宋_GB2312" w:cs="Arial"/>
          <w:color w:val="666666"/>
          <w:sz w:val="32"/>
          <w:szCs w:val="32"/>
          <w:shd w:val="clear" w:color="auto" w:fill="FFFFFF"/>
        </w:rPr>
        <w:t>杨  毅</w:t>
      </w:r>
    </w:p>
    <w:p>
      <w:pPr>
        <w:spacing w:line="500" w:lineRule="exact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</w:t>
      </w:r>
    </w:p>
    <w:p>
      <w:pPr>
        <w:spacing w:line="500" w:lineRule="exact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二</w:t>
      </w:r>
      <w:r>
        <w:rPr>
          <w:rFonts w:hint="eastAsia" w:ascii="仿宋_GB2312" w:hAnsi="仿宋" w:eastAsia="仿宋"/>
          <w:sz w:val="32"/>
          <w:szCs w:val="32"/>
        </w:rPr>
        <w:t>〇</w:t>
      </w:r>
      <w:r>
        <w:rPr>
          <w:rFonts w:hint="eastAsia" w:ascii="仿宋_GB2312" w:hAnsi="仿宋" w:eastAsia="仿宋_GB2312"/>
          <w:sz w:val="32"/>
          <w:szCs w:val="32"/>
        </w:rPr>
        <w:t>一六年六月二十三日</w:t>
      </w:r>
    </w:p>
    <w:p>
      <w:pPr>
        <w:spacing w:line="500" w:lineRule="exact"/>
        <w:jc w:val="right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书</w:t>
      </w:r>
      <w:r>
        <w:rPr>
          <w:rFonts w:hint="eastAsia" w:ascii="仿宋_GB2312" w:eastAsia="仿宋_GB2312"/>
          <w:sz w:val="32"/>
          <w:szCs w:val="32"/>
        </w:rPr>
        <w:t xml:space="preserve">  </w:t>
      </w:r>
      <w:r>
        <w:rPr>
          <w:rFonts w:hint="eastAsia" w:ascii="仿宋_GB2312" w:hAnsi="仿宋" w:eastAsia="仿宋_GB2312"/>
          <w:sz w:val="32"/>
          <w:szCs w:val="32"/>
        </w:rPr>
        <w:t>记</w:t>
      </w:r>
      <w:r>
        <w:rPr>
          <w:rFonts w:hint="eastAsia" w:ascii="仿宋_GB2312" w:eastAsia="仿宋_GB2312"/>
          <w:sz w:val="32"/>
          <w:szCs w:val="32"/>
        </w:rPr>
        <w:t xml:space="preserve">  </w:t>
      </w:r>
      <w:r>
        <w:rPr>
          <w:rFonts w:hint="eastAsia" w:ascii="仿宋_GB2312" w:hAnsi="仿宋" w:eastAsia="仿宋_GB2312"/>
          <w:sz w:val="32"/>
          <w:szCs w:val="32"/>
        </w:rPr>
        <w:t>员</w:t>
      </w:r>
      <w:r>
        <w:rPr>
          <w:rFonts w:hint="eastAsia" w:ascii="仿宋_GB2312" w:eastAsia="仿宋_GB2312"/>
          <w:sz w:val="32"/>
          <w:szCs w:val="32"/>
        </w:rPr>
        <w:t xml:space="preserve">   </w:t>
      </w:r>
      <w:r>
        <w:rPr>
          <w:rFonts w:hint="eastAsia" w:ascii="仿宋_GB2312" w:hAnsi="仿宋" w:eastAsia="仿宋_GB2312"/>
          <w:sz w:val="32"/>
          <w:szCs w:val="32"/>
        </w:rPr>
        <w:t>张文雅</w:t>
      </w:r>
      <w:r>
        <w:rPr>
          <w:rFonts w:hint="eastAsia" w:ascii="仿宋_GB2312" w:eastAsia="仿宋_GB2312"/>
          <w:sz w:val="32"/>
          <w:szCs w:val="32"/>
        </w:rPr>
        <w:t xml:space="preserve">  </w:t>
      </w:r>
    </w:p>
    <w:p>
      <w:pPr>
        <w:spacing w:line="500" w:lineRule="exact"/>
        <w:ind w:firstLine="640" w:firstLineChars="200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ab/>
      </w:r>
      <w:r>
        <w:rPr>
          <w:rFonts w:hint="eastAsia" w:ascii="仿宋_GB2312" w:eastAsia="仿宋_GB2312"/>
          <w:sz w:val="32"/>
          <w:szCs w:val="32"/>
        </w:rPr>
        <w:tab/>
      </w:r>
      <w:r>
        <w:rPr>
          <w:rFonts w:hint="eastAsia" w:ascii="仿宋_GB2312" w:hAnsi="仿宋" w:eastAsia="仿宋_GB2312"/>
          <w:sz w:val="32"/>
          <w:szCs w:val="32"/>
        </w:rPr>
        <w:t>速</w:t>
      </w:r>
      <w:r>
        <w:rPr>
          <w:rFonts w:hint="eastAsia" w:ascii="仿宋_GB2312" w:eastAsia="仿宋_GB2312"/>
          <w:sz w:val="32"/>
          <w:szCs w:val="32"/>
        </w:rPr>
        <w:t xml:space="preserve">  </w:t>
      </w:r>
      <w:r>
        <w:rPr>
          <w:rFonts w:hint="eastAsia" w:ascii="仿宋_GB2312" w:hAnsi="仿宋" w:eastAsia="仿宋_GB2312"/>
          <w:sz w:val="32"/>
          <w:szCs w:val="32"/>
        </w:rPr>
        <w:t>录</w:t>
      </w:r>
      <w:r>
        <w:rPr>
          <w:rFonts w:hint="eastAsia" w:ascii="仿宋_GB2312" w:eastAsia="仿宋_GB2312"/>
          <w:sz w:val="32"/>
          <w:szCs w:val="32"/>
        </w:rPr>
        <w:t xml:space="preserve">  </w:t>
      </w:r>
      <w:r>
        <w:rPr>
          <w:rFonts w:hint="eastAsia" w:ascii="仿宋_GB2312" w:hAnsi="仿宋" w:eastAsia="仿宋_GB2312"/>
          <w:sz w:val="32"/>
          <w:szCs w:val="32"/>
        </w:rPr>
        <w:t>员</w:t>
      </w:r>
      <w:r>
        <w:rPr>
          <w:rFonts w:hint="eastAsia" w:ascii="仿宋_GB2312" w:eastAsia="仿宋_GB2312"/>
          <w:sz w:val="32"/>
          <w:szCs w:val="32"/>
        </w:rPr>
        <w:t xml:space="preserve">   </w:t>
      </w:r>
      <w:r>
        <w:rPr>
          <w:rFonts w:hint="eastAsia" w:ascii="仿宋_GB2312" w:hAnsi="仿宋" w:eastAsia="仿宋_GB2312"/>
          <w:sz w:val="32"/>
          <w:szCs w:val="32"/>
        </w:rPr>
        <w:t>王</w:t>
      </w:r>
      <w:r>
        <w:rPr>
          <w:rFonts w:hint="eastAsia" w:ascii="仿宋_GB2312" w:eastAsia="仿宋_GB2312"/>
          <w:sz w:val="32"/>
          <w:szCs w:val="32"/>
        </w:rPr>
        <w:t xml:space="preserve">  </w:t>
      </w:r>
      <w:r>
        <w:rPr>
          <w:rFonts w:hint="eastAsia" w:ascii="仿宋_GB2312" w:hAnsi="仿宋" w:eastAsia="仿宋_GB2312"/>
          <w:sz w:val="32"/>
          <w:szCs w:val="32"/>
        </w:rPr>
        <w:t>娟</w:t>
      </w:r>
    </w:p>
    <w:p>
      <w:pPr>
        <w:pStyle w:val="5"/>
        <w:spacing w:line="540" w:lineRule="exact"/>
        <w:ind w:firstLine="720" w:firstLineChars="225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sectPr>
      <w:footerReference r:id="rId3" w:type="default"/>
      <w:footerReference r:id="rId4" w:type="even"/>
      <w:pgSz w:w="11907" w:h="16840"/>
      <w:pgMar w:top="1440" w:right="1797" w:bottom="1440" w:left="1797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7CE5"/>
    <w:rsid w:val="00074667"/>
    <w:rsid w:val="00077FC8"/>
    <w:rsid w:val="000858CF"/>
    <w:rsid w:val="00092E0A"/>
    <w:rsid w:val="000C23F9"/>
    <w:rsid w:val="000C571F"/>
    <w:rsid w:val="000D5CD6"/>
    <w:rsid w:val="000E4ED8"/>
    <w:rsid w:val="000E6735"/>
    <w:rsid w:val="000F3A09"/>
    <w:rsid w:val="00102DDD"/>
    <w:rsid w:val="00110C1D"/>
    <w:rsid w:val="00116001"/>
    <w:rsid w:val="0012186D"/>
    <w:rsid w:val="0014473A"/>
    <w:rsid w:val="00144E4D"/>
    <w:rsid w:val="00166141"/>
    <w:rsid w:val="00191767"/>
    <w:rsid w:val="001A7CE5"/>
    <w:rsid w:val="001C0A39"/>
    <w:rsid w:val="001F2706"/>
    <w:rsid w:val="001F3BCA"/>
    <w:rsid w:val="00235CF0"/>
    <w:rsid w:val="002478AF"/>
    <w:rsid w:val="00292E4A"/>
    <w:rsid w:val="002C43C0"/>
    <w:rsid w:val="002E4B63"/>
    <w:rsid w:val="002F7C53"/>
    <w:rsid w:val="00360418"/>
    <w:rsid w:val="00361067"/>
    <w:rsid w:val="003734E1"/>
    <w:rsid w:val="00373548"/>
    <w:rsid w:val="00374BEE"/>
    <w:rsid w:val="00376A26"/>
    <w:rsid w:val="00385945"/>
    <w:rsid w:val="00395ECE"/>
    <w:rsid w:val="003B4AD9"/>
    <w:rsid w:val="003C4ECB"/>
    <w:rsid w:val="003C6687"/>
    <w:rsid w:val="003D01D1"/>
    <w:rsid w:val="003D2EBD"/>
    <w:rsid w:val="003E6816"/>
    <w:rsid w:val="003F68E1"/>
    <w:rsid w:val="00412E84"/>
    <w:rsid w:val="004274C6"/>
    <w:rsid w:val="00440229"/>
    <w:rsid w:val="00447DFE"/>
    <w:rsid w:val="00470E55"/>
    <w:rsid w:val="00474F4A"/>
    <w:rsid w:val="00493694"/>
    <w:rsid w:val="004B71F8"/>
    <w:rsid w:val="004D2D3C"/>
    <w:rsid w:val="004E663B"/>
    <w:rsid w:val="004F390C"/>
    <w:rsid w:val="00516C90"/>
    <w:rsid w:val="00517CCA"/>
    <w:rsid w:val="00522451"/>
    <w:rsid w:val="00523699"/>
    <w:rsid w:val="0052693D"/>
    <w:rsid w:val="0054585C"/>
    <w:rsid w:val="00567209"/>
    <w:rsid w:val="00570342"/>
    <w:rsid w:val="00573921"/>
    <w:rsid w:val="005763B6"/>
    <w:rsid w:val="00582F16"/>
    <w:rsid w:val="00583C69"/>
    <w:rsid w:val="005C2C5B"/>
    <w:rsid w:val="005C3714"/>
    <w:rsid w:val="005D023D"/>
    <w:rsid w:val="005D3095"/>
    <w:rsid w:val="005D4205"/>
    <w:rsid w:val="005E5972"/>
    <w:rsid w:val="0061357E"/>
    <w:rsid w:val="00645EE6"/>
    <w:rsid w:val="006B131E"/>
    <w:rsid w:val="007076D9"/>
    <w:rsid w:val="007107B1"/>
    <w:rsid w:val="007229A7"/>
    <w:rsid w:val="007303F2"/>
    <w:rsid w:val="00730D87"/>
    <w:rsid w:val="00732967"/>
    <w:rsid w:val="00745B92"/>
    <w:rsid w:val="00767B9F"/>
    <w:rsid w:val="007761B4"/>
    <w:rsid w:val="0077623E"/>
    <w:rsid w:val="00792AC1"/>
    <w:rsid w:val="007B6F11"/>
    <w:rsid w:val="007D5937"/>
    <w:rsid w:val="007D638E"/>
    <w:rsid w:val="00800E07"/>
    <w:rsid w:val="00805A56"/>
    <w:rsid w:val="00810B96"/>
    <w:rsid w:val="00836839"/>
    <w:rsid w:val="0084479E"/>
    <w:rsid w:val="0084554D"/>
    <w:rsid w:val="008633F3"/>
    <w:rsid w:val="00884234"/>
    <w:rsid w:val="008A0A81"/>
    <w:rsid w:val="008B162F"/>
    <w:rsid w:val="008B542D"/>
    <w:rsid w:val="008C3A81"/>
    <w:rsid w:val="008E0189"/>
    <w:rsid w:val="008E367D"/>
    <w:rsid w:val="008E56D0"/>
    <w:rsid w:val="008F1DD0"/>
    <w:rsid w:val="00905DA2"/>
    <w:rsid w:val="0092384B"/>
    <w:rsid w:val="00961A1C"/>
    <w:rsid w:val="00997423"/>
    <w:rsid w:val="009B75DD"/>
    <w:rsid w:val="009C3D6D"/>
    <w:rsid w:val="009E7FB7"/>
    <w:rsid w:val="00A05BCA"/>
    <w:rsid w:val="00A103D2"/>
    <w:rsid w:val="00A468E9"/>
    <w:rsid w:val="00A56526"/>
    <w:rsid w:val="00A73978"/>
    <w:rsid w:val="00A805D5"/>
    <w:rsid w:val="00AA1CAB"/>
    <w:rsid w:val="00AC7A59"/>
    <w:rsid w:val="00AD54EC"/>
    <w:rsid w:val="00AE716A"/>
    <w:rsid w:val="00AE78EF"/>
    <w:rsid w:val="00AF4177"/>
    <w:rsid w:val="00B01246"/>
    <w:rsid w:val="00B3632B"/>
    <w:rsid w:val="00B5189B"/>
    <w:rsid w:val="00B6379F"/>
    <w:rsid w:val="00B76E04"/>
    <w:rsid w:val="00B914F6"/>
    <w:rsid w:val="00BA3DD0"/>
    <w:rsid w:val="00BB2F35"/>
    <w:rsid w:val="00BE2A3E"/>
    <w:rsid w:val="00BF49DB"/>
    <w:rsid w:val="00BF5C24"/>
    <w:rsid w:val="00C21A94"/>
    <w:rsid w:val="00C32055"/>
    <w:rsid w:val="00C36054"/>
    <w:rsid w:val="00C449D2"/>
    <w:rsid w:val="00C71F6B"/>
    <w:rsid w:val="00C741F9"/>
    <w:rsid w:val="00C853E0"/>
    <w:rsid w:val="00CA27D0"/>
    <w:rsid w:val="00CA4A10"/>
    <w:rsid w:val="00CC1A96"/>
    <w:rsid w:val="00CD28CA"/>
    <w:rsid w:val="00CD6939"/>
    <w:rsid w:val="00CD6EF4"/>
    <w:rsid w:val="00CD7BD7"/>
    <w:rsid w:val="00D3290A"/>
    <w:rsid w:val="00D424CE"/>
    <w:rsid w:val="00D600E3"/>
    <w:rsid w:val="00D6542B"/>
    <w:rsid w:val="00D74F4E"/>
    <w:rsid w:val="00D902C2"/>
    <w:rsid w:val="00DB6604"/>
    <w:rsid w:val="00DE3165"/>
    <w:rsid w:val="00E000C2"/>
    <w:rsid w:val="00E303CD"/>
    <w:rsid w:val="00E401C1"/>
    <w:rsid w:val="00E4236D"/>
    <w:rsid w:val="00E5099C"/>
    <w:rsid w:val="00E70A3E"/>
    <w:rsid w:val="00EB18B4"/>
    <w:rsid w:val="00EB57E6"/>
    <w:rsid w:val="00EB73C2"/>
    <w:rsid w:val="00EC43B1"/>
    <w:rsid w:val="00EE33C6"/>
    <w:rsid w:val="00F008BA"/>
    <w:rsid w:val="00F219B3"/>
    <w:rsid w:val="00F439E3"/>
    <w:rsid w:val="00F65CFA"/>
    <w:rsid w:val="00F8165A"/>
    <w:rsid w:val="00F87D66"/>
    <w:rsid w:val="00FC093D"/>
    <w:rsid w:val="00FC390B"/>
    <w:rsid w:val="00FC4810"/>
    <w:rsid w:val="00FD5CF9"/>
    <w:rsid w:val="00FD61AE"/>
    <w:rsid w:val="00FD7FA7"/>
    <w:rsid w:val="00FF2F38"/>
    <w:rsid w:val="190E006C"/>
    <w:rsid w:val="37982D18"/>
    <w:rsid w:val="42252DB1"/>
    <w:rsid w:val="52004FAA"/>
    <w:rsid w:val="7A1A2D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uiPriority w:val="0"/>
    <w:rPr>
      <w:rFonts w:ascii="宋体" w:hAnsi="Courier New"/>
      <w:szCs w:val="2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rPr>
      <w:sz w:val="24"/>
    </w:rPr>
  </w:style>
  <w:style w:type="character" w:styleId="7">
    <w:name w:val="page number"/>
    <w:basedOn w:val="6"/>
    <w:qFormat/>
    <w:uiPriority w:val="0"/>
  </w:style>
  <w:style w:type="paragraph" w:customStyle="1" w:styleId="9">
    <w:name w:val="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 w:cs="Verdana"/>
      <w:kern w:val="0"/>
      <w:sz w:val="24"/>
      <w:lang w:eastAsia="en-US"/>
    </w:rPr>
  </w:style>
  <w:style w:type="character" w:customStyle="1" w:styleId="10">
    <w:name w:val="纯文本 Char"/>
    <w:basedOn w:val="6"/>
    <w:link w:val="2"/>
    <w:qFormat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11">
    <w:name w:val="页眉 Char"/>
    <w:basedOn w:val="6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3</Pages>
  <Words>201</Words>
  <Characters>1151</Characters>
  <Lines>9</Lines>
  <Paragraphs>2</Paragraphs>
  <TotalTime>0</TotalTime>
  <ScaleCrop>false</ScaleCrop>
  <LinksUpToDate>false</LinksUpToDate>
  <CharactersWithSpaces>1350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2008-09-02T08:37:00Z</dcterms:created>
  <dc:creator>MC SYSTEM</dc:creator>
  <cp:lastModifiedBy>TF-PC</cp:lastModifiedBy>
  <dcterms:modified xsi:type="dcterms:W3CDTF">2018-08-27T09:39:48Z</dcterms:modified>
  <dc:title>天津市河西区人民法院刑事判决书（稿）</dc:title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