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楷体_GB2312"/>
          <w:sz w:val="44"/>
          <w:szCs w:val="44"/>
        </w:rPr>
      </w:pPr>
      <w:bookmarkStart w:id="0" w:name="_GoBack"/>
      <w:bookmarkEnd w:id="0"/>
      <w:r>
        <w:rPr>
          <w:rFonts w:eastAsia="楷体_GB2312"/>
          <w:sz w:val="44"/>
          <w:szCs w:val="44"/>
        </w:rPr>
        <w:t>天津市河西区人民法院</w:t>
      </w:r>
    </w:p>
    <w:p>
      <w:pPr>
        <w:spacing w:line="360" w:lineRule="auto"/>
        <w:jc w:val="center"/>
        <w:rPr>
          <w:rFonts w:eastAsia="黑体"/>
          <w:sz w:val="52"/>
          <w:szCs w:val="52"/>
        </w:rPr>
      </w:pPr>
      <w:r>
        <w:rPr>
          <w:rFonts w:eastAsia="黑体"/>
          <w:sz w:val="52"/>
          <w:szCs w:val="52"/>
        </w:rPr>
        <w:t>刑 事 判 决 书</w:t>
      </w:r>
    </w:p>
    <w:p>
      <w:pPr>
        <w:spacing w:line="500" w:lineRule="exact"/>
        <w:ind w:firstLine="640" w:firstLineChars="200"/>
        <w:jc w:val="right"/>
        <w:rPr>
          <w:rFonts w:eastAsia="仿宋_GB2312"/>
          <w:sz w:val="32"/>
          <w:szCs w:val="32"/>
        </w:rPr>
      </w:pPr>
    </w:p>
    <w:p>
      <w:pPr>
        <w:spacing w:line="500" w:lineRule="exact"/>
        <w:ind w:firstLine="640" w:firstLineChars="200"/>
        <w:jc w:val="right"/>
        <w:rPr>
          <w:rFonts w:eastAsia="仿宋_GB2312"/>
          <w:sz w:val="32"/>
          <w:szCs w:val="32"/>
        </w:rPr>
      </w:pPr>
      <w:r>
        <w:rPr>
          <w:rFonts w:eastAsia="仿宋_GB2312"/>
          <w:sz w:val="32"/>
          <w:szCs w:val="32"/>
        </w:rPr>
        <w:t>（2016）津0103刑初457号</w:t>
      </w:r>
    </w:p>
    <w:p>
      <w:pPr>
        <w:spacing w:line="500" w:lineRule="exact"/>
        <w:ind w:firstLine="640" w:firstLineChars="200"/>
        <w:jc w:val="right"/>
        <w:rPr>
          <w:rFonts w:eastAsia="仿宋_GB2312"/>
          <w:sz w:val="32"/>
          <w:szCs w:val="32"/>
        </w:rPr>
      </w:pPr>
    </w:p>
    <w:p>
      <w:pPr>
        <w:spacing w:line="500" w:lineRule="exact"/>
        <w:ind w:firstLine="640" w:firstLineChars="200"/>
        <w:rPr>
          <w:rFonts w:eastAsia="仿宋_GB2312"/>
          <w:sz w:val="32"/>
          <w:szCs w:val="32"/>
        </w:rPr>
      </w:pPr>
      <w:r>
        <w:rPr>
          <w:rFonts w:eastAsia="仿宋_GB2312"/>
          <w:sz w:val="32"/>
          <w:szCs w:val="32"/>
        </w:rPr>
        <w:t>公诉机关天津市河西区人民检察院。</w:t>
      </w:r>
    </w:p>
    <w:p>
      <w:pPr>
        <w:pStyle w:val="2"/>
        <w:spacing w:line="500" w:lineRule="exact"/>
        <w:rPr>
          <w:rFonts w:ascii="Times New Roman" w:hAnsi="Times New Roman"/>
          <w:sz w:val="32"/>
          <w:szCs w:val="32"/>
        </w:rPr>
      </w:pPr>
      <w:r>
        <w:rPr>
          <w:rFonts w:ascii="Times New Roman" w:hAnsi="Times New Roman"/>
          <w:sz w:val="32"/>
          <w:szCs w:val="32"/>
        </w:rPr>
        <w:t xml:space="preserve">    被告人张晓楠，女，1977年4月21日出生于天津市，公民身份号码：120101197704210526，汉族，大学文化，天津一建建筑工程有限公司员工，住天津市南开区密云一支路凯信家园10号楼3门401号，户籍地天津市和平区赤峰道泰余里4号。</w:t>
      </w:r>
    </w:p>
    <w:p>
      <w:pPr>
        <w:spacing w:line="500" w:lineRule="exact"/>
        <w:rPr>
          <w:rFonts w:eastAsia="仿宋_GB2312"/>
          <w:sz w:val="32"/>
          <w:szCs w:val="32"/>
        </w:rPr>
      </w:pPr>
      <w:r>
        <w:rPr>
          <w:rFonts w:eastAsia="仿宋_GB2312"/>
          <w:sz w:val="32"/>
          <w:szCs w:val="32"/>
        </w:rPr>
        <w:t xml:space="preserve">    公诉机关以津西检公诉刑诉[2016]433号起诉书指控被告人张晓楠犯信用卡诈骗罪。本院适用刑事案件速裁程序，公开开庭审理了本案。</w:t>
      </w:r>
    </w:p>
    <w:p>
      <w:pPr>
        <w:pStyle w:val="2"/>
        <w:spacing w:line="500" w:lineRule="exact"/>
        <w:rPr>
          <w:rFonts w:ascii="Times New Roman" w:hAnsi="Times New Roman"/>
          <w:sz w:val="32"/>
          <w:szCs w:val="32"/>
        </w:rPr>
      </w:pPr>
      <w:r>
        <w:rPr>
          <w:rFonts w:ascii="Times New Roman" w:hAnsi="Times New Roman"/>
          <w:sz w:val="32"/>
          <w:szCs w:val="32"/>
        </w:rPr>
        <w:t xml:space="preserve">    经审理查明，2008年12月9日，被告人张晓楠向上海浦东发展银行股份有限公司信用卡中心申办信用卡一张</w:t>
      </w:r>
      <w:r>
        <w:rPr>
          <w:rFonts w:hint="eastAsia" w:ascii="Times New Roman" w:hAnsi="Times New Roman"/>
          <w:sz w:val="32"/>
          <w:szCs w:val="32"/>
        </w:rPr>
        <w:t>（</w:t>
      </w:r>
      <w:r>
        <w:rPr>
          <w:rFonts w:ascii="Times New Roman" w:hAnsi="Times New Roman"/>
          <w:sz w:val="32"/>
          <w:szCs w:val="32"/>
        </w:rPr>
        <w:t>卡号：4047390069093468</w:t>
      </w:r>
      <w:r>
        <w:rPr>
          <w:rFonts w:hint="eastAsia" w:ascii="Times New Roman" w:hAnsi="Times New Roman"/>
          <w:sz w:val="32"/>
          <w:szCs w:val="32"/>
        </w:rPr>
        <w:t>）</w:t>
      </w:r>
      <w:r>
        <w:rPr>
          <w:rFonts w:ascii="Times New Roman" w:hAnsi="Times New Roman"/>
          <w:sz w:val="32"/>
          <w:szCs w:val="32"/>
        </w:rPr>
        <w:t>，激活后开始</w:t>
      </w:r>
      <w:r>
        <w:rPr>
          <w:rFonts w:hint="eastAsia" w:ascii="Times New Roman" w:hAnsi="Times New Roman"/>
          <w:sz w:val="32"/>
          <w:szCs w:val="32"/>
        </w:rPr>
        <w:t>透支消费</w:t>
      </w:r>
      <w:r>
        <w:rPr>
          <w:rFonts w:ascii="Times New Roman" w:hAnsi="Times New Roman"/>
          <w:sz w:val="32"/>
          <w:szCs w:val="32"/>
        </w:rPr>
        <w:t>。2014年12月22日还款人民币4100元后不再进行有效还款，经银行多次催收超过三个月仍不归还剩余款项。截至2016年5月1日，被告人张晓楠透支本息合计人民币38891.06元，其中本金人民币29029.01元。2016年6月6日，被告人张晓楠被传唤到公安机关。</w:t>
      </w:r>
    </w:p>
    <w:p>
      <w:pPr>
        <w:spacing w:line="500" w:lineRule="exact"/>
        <w:rPr>
          <w:rFonts w:eastAsia="仿宋_GB2312"/>
          <w:sz w:val="32"/>
          <w:szCs w:val="32"/>
        </w:rPr>
      </w:pPr>
      <w:r>
        <w:rPr>
          <w:rFonts w:eastAsia="仿宋_GB2312"/>
          <w:sz w:val="32"/>
          <w:szCs w:val="32"/>
        </w:rPr>
        <w:t xml:space="preserve">    2016年6月7日，被告人张晓楠偿还银行全部欠款。</w:t>
      </w:r>
    </w:p>
    <w:p>
      <w:pPr>
        <w:spacing w:line="500" w:lineRule="exact"/>
        <w:rPr>
          <w:rFonts w:eastAsia="仿宋_GB2312"/>
          <w:kern w:val="0"/>
          <w:sz w:val="32"/>
          <w:szCs w:val="32"/>
          <w:lang w:val="zh-CN"/>
        </w:rPr>
      </w:pPr>
      <w:r>
        <w:rPr>
          <w:rFonts w:eastAsia="仿宋_GB2312"/>
          <w:sz w:val="32"/>
          <w:szCs w:val="32"/>
        </w:rPr>
        <w:t xml:space="preserve">    上述事实，被告人张晓楠在审理过程中无异议，表示认罪。并有被害单位委托人辜某某陈述，</w:t>
      </w:r>
      <w:r>
        <w:rPr>
          <w:rFonts w:eastAsia="仿宋_GB2312"/>
          <w:kern w:val="0"/>
          <w:sz w:val="32"/>
          <w:szCs w:val="32"/>
          <w:lang w:val="zh-CN"/>
        </w:rPr>
        <w:t>上海</w:t>
      </w:r>
      <w:r>
        <w:rPr>
          <w:rFonts w:eastAsia="仿宋_GB2312"/>
          <w:sz w:val="32"/>
          <w:szCs w:val="32"/>
        </w:rPr>
        <w:t>浦东发展银行出具的报案书、</w:t>
      </w:r>
      <w:r>
        <w:rPr>
          <w:rFonts w:eastAsia="仿宋_GB2312"/>
          <w:kern w:val="0"/>
          <w:sz w:val="32"/>
          <w:szCs w:val="32"/>
          <w:lang w:val="zh-CN"/>
        </w:rPr>
        <w:t>委托材料、信用卡申领材料、账户交易明细、催收记录、情况说明、谅解书，还款凭证，案件来源及抓获经过等证据证实，</w:t>
      </w:r>
      <w:r>
        <w:rPr>
          <w:rFonts w:eastAsia="仿宋_GB2312"/>
          <w:sz w:val="32"/>
          <w:szCs w:val="32"/>
        </w:rPr>
        <w:t>足以认定。</w:t>
      </w:r>
    </w:p>
    <w:p>
      <w:pPr>
        <w:spacing w:line="500" w:lineRule="exact"/>
        <w:ind w:firstLine="640" w:firstLineChars="200"/>
        <w:rPr>
          <w:rFonts w:eastAsia="仿宋_GB2312"/>
          <w:sz w:val="32"/>
          <w:szCs w:val="32"/>
        </w:rPr>
      </w:pPr>
      <w:r>
        <w:rPr>
          <w:rFonts w:eastAsia="仿宋_GB2312"/>
          <w:sz w:val="32"/>
          <w:szCs w:val="32"/>
        </w:rPr>
        <w:t xml:space="preserve">本院认为，公诉机关指控被告人张晓楠犯信用卡诈骗罪的事实清楚，证据确实、充分，指控罪名成立。被告人张晓楠具有以下量刑情节：如实供述全部犯罪行为；偿还被害单位全部欠款并得到谅解。依照《中华人民共和国刑法》第一百九十六条第一款第（四）项、第二款，第六十七条第三款，第七十二条第一款、第三款，第七十三条第二款、第三款，第七十五条，第七十六条之规定，判决如下： </w:t>
      </w:r>
    </w:p>
    <w:p>
      <w:pPr>
        <w:spacing w:line="500" w:lineRule="exact"/>
        <w:ind w:firstLine="640" w:firstLineChars="200"/>
        <w:rPr>
          <w:rFonts w:eastAsia="仿宋_GB2312"/>
          <w:bCs/>
          <w:sz w:val="32"/>
          <w:szCs w:val="32"/>
        </w:rPr>
      </w:pPr>
      <w:r>
        <w:rPr>
          <w:rFonts w:eastAsia="仿宋_GB2312"/>
          <w:sz w:val="32"/>
          <w:szCs w:val="32"/>
        </w:rPr>
        <w:t>被告人张晓楠犯信用卡诈骗罪，判处有期徒刑七个月，缓刑一年，罚金人民币30000元。</w:t>
      </w:r>
      <w:r>
        <w:rPr>
          <w:rFonts w:eastAsia="仿宋_GB2312"/>
          <w:bCs/>
          <w:kern w:val="0"/>
          <w:sz w:val="32"/>
          <w:szCs w:val="32"/>
          <w:lang w:val="zh-CN"/>
        </w:rPr>
        <w:t>在（刑罚）执行期间，被告人</w:t>
      </w:r>
      <w:r>
        <w:rPr>
          <w:rFonts w:eastAsia="仿宋_GB2312"/>
          <w:sz w:val="32"/>
          <w:szCs w:val="32"/>
        </w:rPr>
        <w:t>张晓楠</w:t>
      </w:r>
      <w:r>
        <w:rPr>
          <w:rFonts w:eastAsia="仿宋_GB2312"/>
          <w:bCs/>
          <w:kern w:val="0"/>
          <w:sz w:val="32"/>
          <w:szCs w:val="32"/>
          <w:lang w:val="zh-CN"/>
        </w:rPr>
        <w:t>应当接受相关组织的社区矫正。</w:t>
      </w:r>
    </w:p>
    <w:p>
      <w:pPr>
        <w:spacing w:line="500" w:lineRule="exact"/>
        <w:ind w:firstLine="640" w:firstLineChars="200"/>
        <w:rPr>
          <w:rFonts w:eastAsia="仿宋_GB2312"/>
          <w:sz w:val="32"/>
          <w:szCs w:val="32"/>
        </w:rPr>
      </w:pPr>
      <w:r>
        <w:rPr>
          <w:rFonts w:eastAsia="仿宋_GB2312"/>
          <w:bCs/>
          <w:kern w:val="0"/>
          <w:sz w:val="32"/>
          <w:szCs w:val="32"/>
          <w:lang w:val="zh-CN"/>
        </w:rPr>
        <w:t>（缓刑考验期限，从判决确定之日起计算。罚金已缴纳20000元，剩余部分于判决生效后二个月内缴纳。）</w:t>
      </w:r>
      <w:r>
        <w:rPr>
          <w:rFonts w:eastAsia="仿宋_GB2312"/>
          <w:bCs/>
          <w:sz w:val="32"/>
          <w:szCs w:val="32"/>
        </w:rPr>
        <w:t xml:space="preserve">       </w:t>
      </w:r>
    </w:p>
    <w:p>
      <w:pPr>
        <w:widowControl/>
        <w:snapToGrid w:val="0"/>
        <w:spacing w:line="500" w:lineRule="exact"/>
        <w:ind w:firstLine="600"/>
        <w:rPr>
          <w:rFonts w:eastAsia="仿宋_GB2312"/>
          <w:sz w:val="32"/>
          <w:szCs w:val="32"/>
        </w:rPr>
      </w:pPr>
      <w:r>
        <w:rPr>
          <w:rFonts w:eastAsia="仿宋_GB2312"/>
          <w:sz w:val="32"/>
          <w:szCs w:val="32"/>
        </w:rPr>
        <w:t>如不服本判决，可在接到判决书的第二日起十日内，通过本院或者直接向天津市第二中级人民法院提出上诉。书面上诉的，应当提交上诉状正本一份，副本两份。</w:t>
      </w:r>
    </w:p>
    <w:p>
      <w:pPr>
        <w:spacing w:line="500" w:lineRule="exact"/>
        <w:ind w:firstLine="640" w:firstLineChars="200"/>
        <w:rPr>
          <w:rFonts w:eastAsia="仿宋_GB2312"/>
          <w:sz w:val="32"/>
          <w:szCs w:val="32"/>
        </w:rPr>
      </w:pPr>
    </w:p>
    <w:p>
      <w:pPr>
        <w:spacing w:line="500" w:lineRule="exact"/>
        <w:ind w:right="640" w:firstLine="640" w:firstLineChars="200"/>
        <w:rPr>
          <w:rFonts w:eastAsia="仿宋_GB2312"/>
          <w:sz w:val="32"/>
          <w:szCs w:val="32"/>
        </w:rPr>
      </w:pPr>
    </w:p>
    <w:p>
      <w:pPr>
        <w:spacing w:line="500" w:lineRule="exact"/>
        <w:ind w:right="640" w:firstLine="640" w:firstLineChars="200"/>
        <w:rPr>
          <w:rFonts w:eastAsia="仿宋_GB2312"/>
          <w:sz w:val="32"/>
          <w:szCs w:val="32"/>
        </w:rPr>
      </w:pPr>
    </w:p>
    <w:p>
      <w:pPr>
        <w:spacing w:line="500" w:lineRule="exact"/>
        <w:jc w:val="right"/>
        <w:rPr>
          <w:rFonts w:eastAsia="仿宋_GB2312"/>
          <w:sz w:val="32"/>
          <w:szCs w:val="32"/>
        </w:rPr>
      </w:pPr>
      <w:r>
        <w:rPr>
          <w:rFonts w:eastAsia="仿宋_GB2312"/>
          <w:sz w:val="32"/>
          <w:szCs w:val="32"/>
        </w:rPr>
        <w:t>审  判  员   闫  清</w:t>
      </w:r>
    </w:p>
    <w:p>
      <w:pPr>
        <w:spacing w:line="500" w:lineRule="exact"/>
        <w:jc w:val="right"/>
        <w:rPr>
          <w:rFonts w:eastAsia="仿宋_GB2312"/>
          <w:sz w:val="32"/>
          <w:szCs w:val="32"/>
        </w:rPr>
      </w:pPr>
    </w:p>
    <w:p>
      <w:pPr>
        <w:spacing w:line="500" w:lineRule="exact"/>
        <w:jc w:val="right"/>
        <w:rPr>
          <w:rFonts w:eastAsia="仿宋_GB2312"/>
          <w:sz w:val="32"/>
          <w:szCs w:val="32"/>
        </w:rPr>
      </w:pPr>
      <w:r>
        <w:rPr>
          <w:rFonts w:eastAsia="仿宋_GB2312"/>
          <w:sz w:val="32"/>
          <w:szCs w:val="32"/>
        </w:rPr>
        <w:t>二</w:t>
      </w:r>
      <w:r>
        <w:rPr>
          <w:sz w:val="32"/>
          <w:szCs w:val="32"/>
        </w:rPr>
        <w:t>〇</w:t>
      </w:r>
      <w:r>
        <w:rPr>
          <w:rFonts w:eastAsia="仿宋_GB2312"/>
          <w:sz w:val="32"/>
          <w:szCs w:val="32"/>
        </w:rPr>
        <w:t>一六年七月二十日</w:t>
      </w:r>
    </w:p>
    <w:p>
      <w:pPr>
        <w:spacing w:line="500" w:lineRule="exact"/>
        <w:jc w:val="right"/>
        <w:rPr>
          <w:rFonts w:eastAsia="仿宋_GB2312"/>
          <w:sz w:val="32"/>
          <w:szCs w:val="32"/>
        </w:rPr>
      </w:pPr>
    </w:p>
    <w:p>
      <w:pPr>
        <w:spacing w:line="500" w:lineRule="exact"/>
        <w:jc w:val="right"/>
        <w:rPr>
          <w:rFonts w:eastAsia="仿宋_GB2312"/>
          <w:sz w:val="32"/>
          <w:szCs w:val="32"/>
        </w:rPr>
      </w:pPr>
      <w:r>
        <w:rPr>
          <w:rFonts w:eastAsia="仿宋_GB2312"/>
          <w:sz w:val="32"/>
          <w:szCs w:val="32"/>
        </w:rPr>
        <w:t>书  记  员   马为一</w:t>
      </w:r>
    </w:p>
    <w:p>
      <w:pPr>
        <w:spacing w:line="500" w:lineRule="exact"/>
        <w:jc w:val="right"/>
        <w:rPr>
          <w:rFonts w:eastAsia="仿宋_GB2312"/>
          <w:sz w:val="32"/>
          <w:szCs w:val="32"/>
        </w:rPr>
      </w:pPr>
      <w:r>
        <w:rPr>
          <w:rFonts w:eastAsia="仿宋_GB2312"/>
          <w:sz w:val="32"/>
          <w:szCs w:val="32"/>
        </w:rPr>
        <w:t>速  录  员   杨梦萱</w:t>
      </w:r>
    </w:p>
    <w:p>
      <w:pPr>
        <w:spacing w:line="500" w:lineRule="exact"/>
        <w:rPr>
          <w:rFonts w:eastAsia="仿宋_GB2312"/>
          <w:sz w:val="32"/>
          <w:szCs w:val="32"/>
        </w:rPr>
      </w:pPr>
    </w:p>
    <w:p>
      <w:pPr>
        <w:spacing w:line="500" w:lineRule="exact"/>
        <w:ind w:firstLine="640" w:firstLineChars="200"/>
        <w:rPr>
          <w:rFonts w:eastAsia="仿宋_GB2312"/>
          <w:sz w:val="32"/>
          <w:szCs w:val="32"/>
        </w:rPr>
      </w:pPr>
      <w:r>
        <w:rPr>
          <w:rFonts w:eastAsia="仿宋_GB2312"/>
          <w:sz w:val="32"/>
          <w:szCs w:val="32"/>
        </w:rPr>
        <w:t>本案引用的法律条文</w:t>
      </w:r>
    </w:p>
    <w:p>
      <w:pPr>
        <w:spacing w:line="500" w:lineRule="exact"/>
        <w:ind w:firstLine="640" w:firstLineChars="200"/>
        <w:rPr>
          <w:rFonts w:eastAsia="仿宋_GB2312"/>
          <w:sz w:val="32"/>
          <w:szCs w:val="32"/>
        </w:rPr>
      </w:pPr>
      <w:r>
        <w:rPr>
          <w:rFonts w:eastAsia="仿宋_GB2312"/>
          <w:sz w:val="32"/>
          <w:szCs w:val="32"/>
        </w:rPr>
        <w:t>《中华人民共和国刑法》</w:t>
      </w:r>
    </w:p>
    <w:p>
      <w:pPr>
        <w:spacing w:line="500" w:lineRule="exact"/>
        <w:ind w:firstLine="640" w:firstLineChars="200"/>
        <w:rPr>
          <w:rFonts w:eastAsia="仿宋_GB2312"/>
          <w:sz w:val="32"/>
          <w:szCs w:val="32"/>
        </w:rPr>
      </w:pPr>
      <w:r>
        <w:rPr>
          <w:rFonts w:eastAsia="仿宋_GB2312"/>
          <w:sz w:val="32"/>
          <w:szCs w:val="32"/>
        </w:rPr>
        <w:t>第六十七条第三款   犯罪嫌疑人虽不具有前两款规定的自首情节，但是如实供述自己罪行的，可以从轻处罚；因其如实供述自己罪行，避免特别严重后果发生的，可以减轻处罚。</w:t>
      </w:r>
    </w:p>
    <w:p>
      <w:pPr>
        <w:spacing w:line="500" w:lineRule="exact"/>
        <w:ind w:firstLine="640" w:firstLineChars="200"/>
        <w:rPr>
          <w:rFonts w:eastAsia="仿宋_GB2312"/>
          <w:sz w:val="32"/>
          <w:szCs w:val="32"/>
        </w:rPr>
      </w:pPr>
      <w:r>
        <w:rPr>
          <w:rFonts w:eastAsia="仿宋_GB2312"/>
          <w:sz w:val="32"/>
          <w:szCs w:val="32"/>
        </w:rPr>
        <w:t>第七十二条第一款   对于被判处拘役、三年以下有期徒刑的犯罪分子，同时符合下列条件的，可以宣告缓刑，对其中不满十八周岁的人、怀孕的妇女和已满七十五周岁的人，应当宣告缓刑：</w:t>
      </w:r>
    </w:p>
    <w:p>
      <w:pPr>
        <w:spacing w:line="500" w:lineRule="exact"/>
        <w:ind w:firstLine="640" w:firstLineChars="200"/>
        <w:rPr>
          <w:rFonts w:eastAsia="仿宋_GB2312"/>
          <w:sz w:val="32"/>
          <w:szCs w:val="32"/>
        </w:rPr>
      </w:pPr>
      <w:r>
        <w:rPr>
          <w:rFonts w:eastAsia="仿宋_GB2312"/>
          <w:sz w:val="32"/>
          <w:szCs w:val="32"/>
        </w:rPr>
        <w:t>（一）犯罪情节较轻；</w:t>
      </w:r>
    </w:p>
    <w:p>
      <w:pPr>
        <w:spacing w:line="500" w:lineRule="exact"/>
        <w:ind w:firstLine="640" w:firstLineChars="200"/>
        <w:rPr>
          <w:rFonts w:eastAsia="仿宋_GB2312"/>
          <w:sz w:val="32"/>
          <w:szCs w:val="32"/>
        </w:rPr>
      </w:pPr>
      <w:r>
        <w:rPr>
          <w:rFonts w:eastAsia="仿宋_GB2312"/>
          <w:sz w:val="32"/>
          <w:szCs w:val="32"/>
        </w:rPr>
        <w:t>（二）有悔罪表现；</w:t>
      </w:r>
    </w:p>
    <w:p>
      <w:pPr>
        <w:spacing w:line="500" w:lineRule="exact"/>
        <w:ind w:firstLine="640" w:firstLineChars="200"/>
        <w:rPr>
          <w:rFonts w:eastAsia="仿宋_GB2312"/>
          <w:sz w:val="32"/>
          <w:szCs w:val="32"/>
        </w:rPr>
      </w:pPr>
      <w:r>
        <w:rPr>
          <w:rFonts w:eastAsia="仿宋_GB2312"/>
          <w:sz w:val="32"/>
          <w:szCs w:val="32"/>
        </w:rPr>
        <w:t>（三）没有再犯罪的危险；</w:t>
      </w:r>
    </w:p>
    <w:p>
      <w:pPr>
        <w:spacing w:line="500" w:lineRule="exact"/>
        <w:ind w:firstLine="640" w:firstLineChars="200"/>
        <w:rPr>
          <w:rFonts w:eastAsia="仿宋_GB2312"/>
          <w:sz w:val="32"/>
          <w:szCs w:val="32"/>
        </w:rPr>
      </w:pPr>
      <w:r>
        <w:rPr>
          <w:rFonts w:eastAsia="仿宋_GB2312"/>
          <w:sz w:val="32"/>
          <w:szCs w:val="32"/>
        </w:rPr>
        <w:t>（四）宣告缓刑对所居住社区没有重大不良影响。</w:t>
      </w:r>
    </w:p>
    <w:p>
      <w:pPr>
        <w:spacing w:line="500" w:lineRule="exact"/>
        <w:ind w:firstLine="640" w:firstLineChars="200"/>
        <w:rPr>
          <w:rFonts w:eastAsia="仿宋_GB2312"/>
          <w:sz w:val="32"/>
          <w:szCs w:val="32"/>
        </w:rPr>
      </w:pPr>
      <w:r>
        <w:rPr>
          <w:rFonts w:eastAsia="仿宋_GB2312"/>
          <w:sz w:val="32"/>
          <w:szCs w:val="32"/>
        </w:rPr>
        <w:t>第七十二条第三款   被宣告缓刑的犯罪分子，如果被判处附加刑，附加刑仍须执行。</w:t>
      </w:r>
    </w:p>
    <w:p>
      <w:pPr>
        <w:spacing w:line="500" w:lineRule="exact"/>
        <w:ind w:firstLine="640" w:firstLineChars="200"/>
        <w:rPr>
          <w:rFonts w:eastAsia="仿宋_GB2312"/>
          <w:sz w:val="32"/>
          <w:szCs w:val="32"/>
        </w:rPr>
      </w:pPr>
      <w:r>
        <w:rPr>
          <w:rFonts w:eastAsia="仿宋_GB2312"/>
          <w:sz w:val="32"/>
          <w:szCs w:val="32"/>
        </w:rPr>
        <w:t>第七十三条第二款   有期徒刑的缓刑考验期限为原判刑期以上五年以下，但是不能少于一年。</w:t>
      </w:r>
    </w:p>
    <w:p>
      <w:pPr>
        <w:spacing w:line="500" w:lineRule="exact"/>
        <w:ind w:firstLine="640" w:firstLineChars="200"/>
        <w:rPr>
          <w:rFonts w:eastAsia="仿宋_GB2312"/>
          <w:sz w:val="32"/>
          <w:szCs w:val="32"/>
        </w:rPr>
      </w:pPr>
      <w:r>
        <w:rPr>
          <w:rFonts w:eastAsia="仿宋_GB2312"/>
          <w:sz w:val="32"/>
          <w:szCs w:val="32"/>
        </w:rPr>
        <w:t>第七十三条第三款   缓刑考验期限，从判决确定之日起计算。</w:t>
      </w:r>
    </w:p>
    <w:p>
      <w:pPr>
        <w:spacing w:line="500" w:lineRule="exact"/>
        <w:ind w:firstLine="640" w:firstLineChars="200"/>
        <w:rPr>
          <w:rFonts w:eastAsia="仿宋_GB2312"/>
          <w:sz w:val="32"/>
          <w:szCs w:val="32"/>
        </w:rPr>
      </w:pPr>
      <w:r>
        <w:rPr>
          <w:rFonts w:eastAsia="仿宋_GB2312"/>
          <w:sz w:val="32"/>
          <w:szCs w:val="32"/>
        </w:rPr>
        <w:t>第七十五条   被宣告缓刑的犯罪分子，应当遵守下列规定：</w:t>
      </w:r>
    </w:p>
    <w:p>
      <w:pPr>
        <w:spacing w:line="500" w:lineRule="exact"/>
        <w:ind w:firstLine="640" w:firstLineChars="200"/>
        <w:rPr>
          <w:rFonts w:eastAsia="仿宋_GB2312"/>
          <w:sz w:val="32"/>
          <w:szCs w:val="32"/>
        </w:rPr>
      </w:pPr>
      <w:r>
        <w:rPr>
          <w:rFonts w:eastAsia="仿宋_GB2312"/>
          <w:sz w:val="32"/>
          <w:szCs w:val="32"/>
        </w:rPr>
        <w:t>（一）遵守法律、行政法规，服从监督；</w:t>
      </w:r>
    </w:p>
    <w:p>
      <w:pPr>
        <w:spacing w:line="500" w:lineRule="exact"/>
        <w:ind w:firstLine="640" w:firstLineChars="200"/>
        <w:rPr>
          <w:rFonts w:eastAsia="仿宋_GB2312"/>
          <w:sz w:val="32"/>
          <w:szCs w:val="32"/>
        </w:rPr>
      </w:pPr>
      <w:r>
        <w:rPr>
          <w:rFonts w:eastAsia="仿宋_GB2312"/>
          <w:sz w:val="32"/>
          <w:szCs w:val="32"/>
        </w:rPr>
        <w:t>（二）按照考察机关的规定报告自己的活动情况；</w:t>
      </w:r>
    </w:p>
    <w:p>
      <w:pPr>
        <w:spacing w:line="500" w:lineRule="exact"/>
        <w:ind w:firstLine="640" w:firstLineChars="200"/>
        <w:rPr>
          <w:rFonts w:eastAsia="仿宋_GB2312"/>
          <w:sz w:val="32"/>
          <w:szCs w:val="32"/>
        </w:rPr>
      </w:pPr>
      <w:r>
        <w:rPr>
          <w:rFonts w:eastAsia="仿宋_GB2312"/>
          <w:sz w:val="32"/>
          <w:szCs w:val="32"/>
        </w:rPr>
        <w:t>（三）遵守考察机关关于会客的规定；</w:t>
      </w:r>
    </w:p>
    <w:p>
      <w:pPr>
        <w:spacing w:line="500" w:lineRule="exact"/>
        <w:ind w:firstLine="640" w:firstLineChars="200"/>
        <w:rPr>
          <w:rFonts w:eastAsia="仿宋_GB2312"/>
          <w:sz w:val="32"/>
          <w:szCs w:val="32"/>
        </w:rPr>
      </w:pPr>
      <w:r>
        <w:rPr>
          <w:rFonts w:eastAsia="仿宋_GB2312"/>
          <w:sz w:val="32"/>
          <w:szCs w:val="32"/>
        </w:rPr>
        <w:t>（四）离开所居住的市、县或者迁居，应当报经考察机关批准。</w:t>
      </w:r>
    </w:p>
    <w:p>
      <w:pPr>
        <w:spacing w:line="500" w:lineRule="exact"/>
        <w:ind w:firstLine="640" w:firstLineChars="200"/>
        <w:rPr>
          <w:rFonts w:eastAsia="仿宋_GB2312"/>
          <w:sz w:val="32"/>
          <w:szCs w:val="32"/>
        </w:rPr>
      </w:pPr>
      <w:r>
        <w:rPr>
          <w:rFonts w:eastAsia="仿宋_GB2312"/>
          <w:sz w:val="32"/>
          <w:szCs w:val="32"/>
        </w:rPr>
        <w:t>第七十六条   对宣告缓刑的犯罪分子，在缓刑考验期限内，依法实行社区矫正，如果没有本法第七十七条规定的情形，缓刑考验期满，原判的刑罚就不再执行，并公开予以宣告。</w:t>
      </w:r>
    </w:p>
    <w:p>
      <w:pPr>
        <w:spacing w:line="500" w:lineRule="exact"/>
        <w:ind w:firstLine="640" w:firstLineChars="200"/>
        <w:rPr>
          <w:rFonts w:eastAsia="仿宋_GB2312"/>
          <w:sz w:val="32"/>
          <w:szCs w:val="32"/>
        </w:rPr>
      </w:pPr>
      <w:r>
        <w:rPr>
          <w:rFonts w:eastAsia="仿宋_GB2312"/>
          <w:sz w:val="32"/>
          <w:szCs w:val="32"/>
        </w:rPr>
        <w:t>第一百九十六条第一款第（四）项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00" w:lineRule="exact"/>
        <w:ind w:firstLine="640" w:firstLineChars="200"/>
        <w:rPr>
          <w:rFonts w:eastAsia="仿宋_GB2312"/>
          <w:sz w:val="32"/>
          <w:szCs w:val="32"/>
        </w:rPr>
      </w:pPr>
      <w:r>
        <w:rPr>
          <w:rFonts w:eastAsia="仿宋_GB2312"/>
          <w:sz w:val="32"/>
          <w:szCs w:val="32"/>
        </w:rPr>
        <w:t>（四）恶意透支的。</w:t>
      </w:r>
    </w:p>
    <w:p>
      <w:pPr>
        <w:spacing w:line="500" w:lineRule="exact"/>
        <w:ind w:firstLine="640" w:firstLineChars="200"/>
        <w:rPr>
          <w:rFonts w:eastAsia="仿宋_GB2312"/>
          <w:sz w:val="32"/>
          <w:szCs w:val="32"/>
        </w:rPr>
      </w:pPr>
      <w:r>
        <w:rPr>
          <w:rFonts w:eastAsia="仿宋_GB2312"/>
          <w:sz w:val="32"/>
          <w:szCs w:val="32"/>
        </w:rPr>
        <w:t>第一百九十六条第二款   前款所称恶意透支，是指持卡人以非法占有为目的，超过规定限额或者规定期限透支，并且经发卡银行催收后仍不归还的行为。</w:t>
      </w:r>
    </w:p>
    <w:p>
      <w:pPr>
        <w:ind w:firstLine="640" w:firstLineChars="200"/>
        <w:rPr>
          <w:rFonts w:ascii="仿宋_GB2312" w:eastAsia="仿宋_GB2312"/>
          <w:sz w:val="32"/>
        </w:rPr>
      </w:pPr>
    </w:p>
    <w:sectPr>
      <w:footerReference r:id="rId3" w:type="default"/>
      <w:footerReference r:id="rId4" w:type="even"/>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1</w:t>
    </w:r>
    <w:r>
      <w:rPr>
        <w:rStyle w:val="6"/>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908F9"/>
    <w:rsid w:val="00006B2D"/>
    <w:rsid w:val="00010F6A"/>
    <w:rsid w:val="0001160F"/>
    <w:rsid w:val="000119B2"/>
    <w:rsid w:val="00015E4B"/>
    <w:rsid w:val="00032356"/>
    <w:rsid w:val="00033E5A"/>
    <w:rsid w:val="00040700"/>
    <w:rsid w:val="000424B6"/>
    <w:rsid w:val="00045E61"/>
    <w:rsid w:val="00046888"/>
    <w:rsid w:val="00050C7E"/>
    <w:rsid w:val="00057400"/>
    <w:rsid w:val="000629E1"/>
    <w:rsid w:val="0006343D"/>
    <w:rsid w:val="00063BFC"/>
    <w:rsid w:val="00064738"/>
    <w:rsid w:val="00070E28"/>
    <w:rsid w:val="0007658C"/>
    <w:rsid w:val="000774D3"/>
    <w:rsid w:val="000914B4"/>
    <w:rsid w:val="000918DA"/>
    <w:rsid w:val="00092337"/>
    <w:rsid w:val="00096DB1"/>
    <w:rsid w:val="000A0AA1"/>
    <w:rsid w:val="000A38FC"/>
    <w:rsid w:val="000B0C3D"/>
    <w:rsid w:val="000B6D9D"/>
    <w:rsid w:val="000D53FB"/>
    <w:rsid w:val="000D698B"/>
    <w:rsid w:val="000E333E"/>
    <w:rsid w:val="000E60C0"/>
    <w:rsid w:val="000E693B"/>
    <w:rsid w:val="00102AC3"/>
    <w:rsid w:val="00102BB6"/>
    <w:rsid w:val="00103CA6"/>
    <w:rsid w:val="00103D07"/>
    <w:rsid w:val="00106896"/>
    <w:rsid w:val="001100BE"/>
    <w:rsid w:val="00114AB0"/>
    <w:rsid w:val="00116576"/>
    <w:rsid w:val="00123341"/>
    <w:rsid w:val="0012471C"/>
    <w:rsid w:val="00133906"/>
    <w:rsid w:val="0014645D"/>
    <w:rsid w:val="001544F2"/>
    <w:rsid w:val="001555FB"/>
    <w:rsid w:val="00157187"/>
    <w:rsid w:val="00157F35"/>
    <w:rsid w:val="0016203F"/>
    <w:rsid w:val="00170467"/>
    <w:rsid w:val="00170C45"/>
    <w:rsid w:val="001768CE"/>
    <w:rsid w:val="00180B09"/>
    <w:rsid w:val="00181ACD"/>
    <w:rsid w:val="00192D68"/>
    <w:rsid w:val="001931F4"/>
    <w:rsid w:val="001959F0"/>
    <w:rsid w:val="0019779D"/>
    <w:rsid w:val="001A14DC"/>
    <w:rsid w:val="001A65C2"/>
    <w:rsid w:val="001B0F54"/>
    <w:rsid w:val="001B33F0"/>
    <w:rsid w:val="001B5B5B"/>
    <w:rsid w:val="001B7EF2"/>
    <w:rsid w:val="001C17B7"/>
    <w:rsid w:val="001C48D0"/>
    <w:rsid w:val="001C6EFF"/>
    <w:rsid w:val="001C757F"/>
    <w:rsid w:val="001D4DC1"/>
    <w:rsid w:val="001D5ACF"/>
    <w:rsid w:val="001E0609"/>
    <w:rsid w:val="001E2DDA"/>
    <w:rsid w:val="001F1573"/>
    <w:rsid w:val="001F6E95"/>
    <w:rsid w:val="00202287"/>
    <w:rsid w:val="0020657D"/>
    <w:rsid w:val="00206BC5"/>
    <w:rsid w:val="0021132D"/>
    <w:rsid w:val="00215394"/>
    <w:rsid w:val="00215DCB"/>
    <w:rsid w:val="002219C5"/>
    <w:rsid w:val="0022422A"/>
    <w:rsid w:val="002303DE"/>
    <w:rsid w:val="00235FA3"/>
    <w:rsid w:val="00251644"/>
    <w:rsid w:val="002544DB"/>
    <w:rsid w:val="00256E6D"/>
    <w:rsid w:val="0026390F"/>
    <w:rsid w:val="00270E4F"/>
    <w:rsid w:val="00274B7B"/>
    <w:rsid w:val="00280E3B"/>
    <w:rsid w:val="0028649E"/>
    <w:rsid w:val="00290068"/>
    <w:rsid w:val="002900C2"/>
    <w:rsid w:val="00293CF2"/>
    <w:rsid w:val="00294B89"/>
    <w:rsid w:val="00296CD0"/>
    <w:rsid w:val="002A6AFB"/>
    <w:rsid w:val="002B430B"/>
    <w:rsid w:val="002B4CFF"/>
    <w:rsid w:val="002C46E3"/>
    <w:rsid w:val="002C6AAB"/>
    <w:rsid w:val="002D08EE"/>
    <w:rsid w:val="002D12CA"/>
    <w:rsid w:val="002D4C51"/>
    <w:rsid w:val="002D51F2"/>
    <w:rsid w:val="002E5049"/>
    <w:rsid w:val="002E5598"/>
    <w:rsid w:val="002F5503"/>
    <w:rsid w:val="00306812"/>
    <w:rsid w:val="00312EE3"/>
    <w:rsid w:val="003153B5"/>
    <w:rsid w:val="003248D4"/>
    <w:rsid w:val="00325D23"/>
    <w:rsid w:val="003262D9"/>
    <w:rsid w:val="00331928"/>
    <w:rsid w:val="00341B71"/>
    <w:rsid w:val="003438E7"/>
    <w:rsid w:val="00346125"/>
    <w:rsid w:val="00347FEE"/>
    <w:rsid w:val="00354F65"/>
    <w:rsid w:val="0035613B"/>
    <w:rsid w:val="0036256A"/>
    <w:rsid w:val="00364165"/>
    <w:rsid w:val="00367538"/>
    <w:rsid w:val="00372D3E"/>
    <w:rsid w:val="00373A5E"/>
    <w:rsid w:val="003767C9"/>
    <w:rsid w:val="00380F0B"/>
    <w:rsid w:val="0038547E"/>
    <w:rsid w:val="00387AD0"/>
    <w:rsid w:val="0039020D"/>
    <w:rsid w:val="00392635"/>
    <w:rsid w:val="00392EDD"/>
    <w:rsid w:val="003A5134"/>
    <w:rsid w:val="003B24D2"/>
    <w:rsid w:val="003B7626"/>
    <w:rsid w:val="003C13B6"/>
    <w:rsid w:val="003D03F0"/>
    <w:rsid w:val="003D131E"/>
    <w:rsid w:val="003D19CF"/>
    <w:rsid w:val="003D589F"/>
    <w:rsid w:val="003E5A16"/>
    <w:rsid w:val="003F79D8"/>
    <w:rsid w:val="00410FB3"/>
    <w:rsid w:val="004131B4"/>
    <w:rsid w:val="004219B5"/>
    <w:rsid w:val="00421E7D"/>
    <w:rsid w:val="00432133"/>
    <w:rsid w:val="004453B2"/>
    <w:rsid w:val="00460509"/>
    <w:rsid w:val="004621AF"/>
    <w:rsid w:val="00463E8E"/>
    <w:rsid w:val="00463F55"/>
    <w:rsid w:val="00464C83"/>
    <w:rsid w:val="00474AFB"/>
    <w:rsid w:val="00481498"/>
    <w:rsid w:val="0049557B"/>
    <w:rsid w:val="004972BF"/>
    <w:rsid w:val="004A079C"/>
    <w:rsid w:val="004A4FBB"/>
    <w:rsid w:val="004A706C"/>
    <w:rsid w:val="004A71B3"/>
    <w:rsid w:val="004B2661"/>
    <w:rsid w:val="004B3AE3"/>
    <w:rsid w:val="004B4ED7"/>
    <w:rsid w:val="004B5234"/>
    <w:rsid w:val="004B6261"/>
    <w:rsid w:val="004B71F0"/>
    <w:rsid w:val="004B729D"/>
    <w:rsid w:val="004C1F09"/>
    <w:rsid w:val="004C6A76"/>
    <w:rsid w:val="004D07AE"/>
    <w:rsid w:val="004D346A"/>
    <w:rsid w:val="004D68FE"/>
    <w:rsid w:val="004E270E"/>
    <w:rsid w:val="004E2E2A"/>
    <w:rsid w:val="004E5473"/>
    <w:rsid w:val="004E7577"/>
    <w:rsid w:val="004F62C0"/>
    <w:rsid w:val="00502A45"/>
    <w:rsid w:val="00503AB6"/>
    <w:rsid w:val="00510216"/>
    <w:rsid w:val="0051224A"/>
    <w:rsid w:val="00520825"/>
    <w:rsid w:val="0052377E"/>
    <w:rsid w:val="005256B5"/>
    <w:rsid w:val="00531848"/>
    <w:rsid w:val="00532396"/>
    <w:rsid w:val="00532741"/>
    <w:rsid w:val="00537AAB"/>
    <w:rsid w:val="00544FFF"/>
    <w:rsid w:val="00547B90"/>
    <w:rsid w:val="00550124"/>
    <w:rsid w:val="00551372"/>
    <w:rsid w:val="00556C51"/>
    <w:rsid w:val="00557450"/>
    <w:rsid w:val="00566B28"/>
    <w:rsid w:val="00572922"/>
    <w:rsid w:val="0057674E"/>
    <w:rsid w:val="005819CB"/>
    <w:rsid w:val="00585C54"/>
    <w:rsid w:val="005861E5"/>
    <w:rsid w:val="0059231B"/>
    <w:rsid w:val="005950B0"/>
    <w:rsid w:val="005A3994"/>
    <w:rsid w:val="005A532B"/>
    <w:rsid w:val="005A67BC"/>
    <w:rsid w:val="005B0844"/>
    <w:rsid w:val="005B136C"/>
    <w:rsid w:val="005B1C43"/>
    <w:rsid w:val="005B59C3"/>
    <w:rsid w:val="005B7F09"/>
    <w:rsid w:val="005C0415"/>
    <w:rsid w:val="005D03E7"/>
    <w:rsid w:val="005D144D"/>
    <w:rsid w:val="005D1C74"/>
    <w:rsid w:val="005F446D"/>
    <w:rsid w:val="005F62D4"/>
    <w:rsid w:val="005F66FC"/>
    <w:rsid w:val="00601F11"/>
    <w:rsid w:val="0060226E"/>
    <w:rsid w:val="00603CA4"/>
    <w:rsid w:val="0061731A"/>
    <w:rsid w:val="006179F6"/>
    <w:rsid w:val="006334DE"/>
    <w:rsid w:val="006341B4"/>
    <w:rsid w:val="0065347B"/>
    <w:rsid w:val="006561C8"/>
    <w:rsid w:val="00660969"/>
    <w:rsid w:val="00663344"/>
    <w:rsid w:val="00663A65"/>
    <w:rsid w:val="00664929"/>
    <w:rsid w:val="00674881"/>
    <w:rsid w:val="006777F5"/>
    <w:rsid w:val="006837BB"/>
    <w:rsid w:val="006855B2"/>
    <w:rsid w:val="00693DA0"/>
    <w:rsid w:val="006A11A8"/>
    <w:rsid w:val="006A24BD"/>
    <w:rsid w:val="006A31F4"/>
    <w:rsid w:val="006B383A"/>
    <w:rsid w:val="006B65DE"/>
    <w:rsid w:val="006C12E0"/>
    <w:rsid w:val="006C3488"/>
    <w:rsid w:val="006C4858"/>
    <w:rsid w:val="006C602E"/>
    <w:rsid w:val="006D086E"/>
    <w:rsid w:val="006E2479"/>
    <w:rsid w:val="006F3FEA"/>
    <w:rsid w:val="006F4343"/>
    <w:rsid w:val="00701062"/>
    <w:rsid w:val="007040AB"/>
    <w:rsid w:val="00710206"/>
    <w:rsid w:val="00713588"/>
    <w:rsid w:val="007167B9"/>
    <w:rsid w:val="00725E19"/>
    <w:rsid w:val="007313FE"/>
    <w:rsid w:val="00733A74"/>
    <w:rsid w:val="007414E1"/>
    <w:rsid w:val="00742E9D"/>
    <w:rsid w:val="00745BC9"/>
    <w:rsid w:val="00745C0C"/>
    <w:rsid w:val="007476F4"/>
    <w:rsid w:val="007513BB"/>
    <w:rsid w:val="00751C8B"/>
    <w:rsid w:val="00755292"/>
    <w:rsid w:val="00755473"/>
    <w:rsid w:val="00756104"/>
    <w:rsid w:val="00757169"/>
    <w:rsid w:val="00761879"/>
    <w:rsid w:val="00763A35"/>
    <w:rsid w:val="0076565F"/>
    <w:rsid w:val="007957AF"/>
    <w:rsid w:val="00796481"/>
    <w:rsid w:val="007A040F"/>
    <w:rsid w:val="007B2BD9"/>
    <w:rsid w:val="007B7421"/>
    <w:rsid w:val="007C1989"/>
    <w:rsid w:val="007C3936"/>
    <w:rsid w:val="007C3C69"/>
    <w:rsid w:val="007D2E75"/>
    <w:rsid w:val="007D79B3"/>
    <w:rsid w:val="007E29B4"/>
    <w:rsid w:val="007E399E"/>
    <w:rsid w:val="007F015B"/>
    <w:rsid w:val="007F0CB4"/>
    <w:rsid w:val="007F1FD4"/>
    <w:rsid w:val="007F2964"/>
    <w:rsid w:val="00800799"/>
    <w:rsid w:val="00802B4A"/>
    <w:rsid w:val="008121F5"/>
    <w:rsid w:val="00815289"/>
    <w:rsid w:val="00816979"/>
    <w:rsid w:val="00821B32"/>
    <w:rsid w:val="008260D1"/>
    <w:rsid w:val="00826CD6"/>
    <w:rsid w:val="00826DB8"/>
    <w:rsid w:val="0083127B"/>
    <w:rsid w:val="00832D38"/>
    <w:rsid w:val="008362DC"/>
    <w:rsid w:val="008378D9"/>
    <w:rsid w:val="0084118E"/>
    <w:rsid w:val="00852894"/>
    <w:rsid w:val="00853E71"/>
    <w:rsid w:val="0086039B"/>
    <w:rsid w:val="00862EB8"/>
    <w:rsid w:val="008650FC"/>
    <w:rsid w:val="0086601E"/>
    <w:rsid w:val="00867A7E"/>
    <w:rsid w:val="008734EB"/>
    <w:rsid w:val="00873EE8"/>
    <w:rsid w:val="008747DA"/>
    <w:rsid w:val="00877150"/>
    <w:rsid w:val="008869C3"/>
    <w:rsid w:val="00890982"/>
    <w:rsid w:val="00896FD4"/>
    <w:rsid w:val="008A10EC"/>
    <w:rsid w:val="008A392A"/>
    <w:rsid w:val="008A4BBA"/>
    <w:rsid w:val="008B7256"/>
    <w:rsid w:val="008C21BE"/>
    <w:rsid w:val="008D1DD8"/>
    <w:rsid w:val="008D4326"/>
    <w:rsid w:val="008D5DFD"/>
    <w:rsid w:val="008D7413"/>
    <w:rsid w:val="008E2B5C"/>
    <w:rsid w:val="008E5F50"/>
    <w:rsid w:val="008E6964"/>
    <w:rsid w:val="008E7791"/>
    <w:rsid w:val="008F096B"/>
    <w:rsid w:val="008F148D"/>
    <w:rsid w:val="008F2FC6"/>
    <w:rsid w:val="008F4D3F"/>
    <w:rsid w:val="009019E6"/>
    <w:rsid w:val="009070BE"/>
    <w:rsid w:val="009137D3"/>
    <w:rsid w:val="00913C98"/>
    <w:rsid w:val="0091685B"/>
    <w:rsid w:val="0092206C"/>
    <w:rsid w:val="00922950"/>
    <w:rsid w:val="00945EB8"/>
    <w:rsid w:val="00957B9E"/>
    <w:rsid w:val="00971D54"/>
    <w:rsid w:val="00974ECC"/>
    <w:rsid w:val="00975FC3"/>
    <w:rsid w:val="00976516"/>
    <w:rsid w:val="009778FD"/>
    <w:rsid w:val="009908F9"/>
    <w:rsid w:val="00991327"/>
    <w:rsid w:val="009A05B2"/>
    <w:rsid w:val="009A7B11"/>
    <w:rsid w:val="009B72B4"/>
    <w:rsid w:val="009C5983"/>
    <w:rsid w:val="009D19A6"/>
    <w:rsid w:val="009D44B7"/>
    <w:rsid w:val="009D5135"/>
    <w:rsid w:val="009D7919"/>
    <w:rsid w:val="009E291D"/>
    <w:rsid w:val="009E2991"/>
    <w:rsid w:val="009F0EFB"/>
    <w:rsid w:val="009F610F"/>
    <w:rsid w:val="00A01113"/>
    <w:rsid w:val="00A10017"/>
    <w:rsid w:val="00A10E86"/>
    <w:rsid w:val="00A1191B"/>
    <w:rsid w:val="00A1200A"/>
    <w:rsid w:val="00A17AD0"/>
    <w:rsid w:val="00A25082"/>
    <w:rsid w:val="00A31D53"/>
    <w:rsid w:val="00A323EA"/>
    <w:rsid w:val="00A32749"/>
    <w:rsid w:val="00A347E1"/>
    <w:rsid w:val="00A34E34"/>
    <w:rsid w:val="00A40335"/>
    <w:rsid w:val="00A454AC"/>
    <w:rsid w:val="00A46B27"/>
    <w:rsid w:val="00A47AAB"/>
    <w:rsid w:val="00A548EF"/>
    <w:rsid w:val="00A7718A"/>
    <w:rsid w:val="00A819E3"/>
    <w:rsid w:val="00A82B81"/>
    <w:rsid w:val="00A87BD8"/>
    <w:rsid w:val="00A96415"/>
    <w:rsid w:val="00A9684B"/>
    <w:rsid w:val="00AA32E0"/>
    <w:rsid w:val="00AB1DC3"/>
    <w:rsid w:val="00AB4F87"/>
    <w:rsid w:val="00AB5CE4"/>
    <w:rsid w:val="00AC2613"/>
    <w:rsid w:val="00AC2AB9"/>
    <w:rsid w:val="00AC379C"/>
    <w:rsid w:val="00AC7223"/>
    <w:rsid w:val="00AC7F8C"/>
    <w:rsid w:val="00AE24C9"/>
    <w:rsid w:val="00AE3DD4"/>
    <w:rsid w:val="00AF2B35"/>
    <w:rsid w:val="00AF7E99"/>
    <w:rsid w:val="00B03561"/>
    <w:rsid w:val="00B0512F"/>
    <w:rsid w:val="00B0540B"/>
    <w:rsid w:val="00B06BB2"/>
    <w:rsid w:val="00B10857"/>
    <w:rsid w:val="00B13A77"/>
    <w:rsid w:val="00B14D5B"/>
    <w:rsid w:val="00B31CB9"/>
    <w:rsid w:val="00B36B3C"/>
    <w:rsid w:val="00B40609"/>
    <w:rsid w:val="00B40A05"/>
    <w:rsid w:val="00B42926"/>
    <w:rsid w:val="00B42B7C"/>
    <w:rsid w:val="00B50F0A"/>
    <w:rsid w:val="00B51422"/>
    <w:rsid w:val="00B5453D"/>
    <w:rsid w:val="00B62059"/>
    <w:rsid w:val="00B678CE"/>
    <w:rsid w:val="00B678F9"/>
    <w:rsid w:val="00B6795D"/>
    <w:rsid w:val="00B708F7"/>
    <w:rsid w:val="00B726BB"/>
    <w:rsid w:val="00B727B2"/>
    <w:rsid w:val="00B72B6C"/>
    <w:rsid w:val="00B77A7A"/>
    <w:rsid w:val="00B91906"/>
    <w:rsid w:val="00B95A6E"/>
    <w:rsid w:val="00B97AA1"/>
    <w:rsid w:val="00BA11AF"/>
    <w:rsid w:val="00BA5616"/>
    <w:rsid w:val="00BA5C0B"/>
    <w:rsid w:val="00BC042D"/>
    <w:rsid w:val="00BC61DF"/>
    <w:rsid w:val="00BD7EB9"/>
    <w:rsid w:val="00BF01A8"/>
    <w:rsid w:val="00BF10EA"/>
    <w:rsid w:val="00BF1A3D"/>
    <w:rsid w:val="00BF1A48"/>
    <w:rsid w:val="00BF328E"/>
    <w:rsid w:val="00C03654"/>
    <w:rsid w:val="00C04E2A"/>
    <w:rsid w:val="00C20586"/>
    <w:rsid w:val="00C3040F"/>
    <w:rsid w:val="00C31488"/>
    <w:rsid w:val="00C322C4"/>
    <w:rsid w:val="00C33BDC"/>
    <w:rsid w:val="00C34B11"/>
    <w:rsid w:val="00C35133"/>
    <w:rsid w:val="00C35E57"/>
    <w:rsid w:val="00C35ECD"/>
    <w:rsid w:val="00C431FD"/>
    <w:rsid w:val="00C45FFE"/>
    <w:rsid w:val="00C53147"/>
    <w:rsid w:val="00C53C8C"/>
    <w:rsid w:val="00C71300"/>
    <w:rsid w:val="00C722B1"/>
    <w:rsid w:val="00C76269"/>
    <w:rsid w:val="00C80073"/>
    <w:rsid w:val="00C8126B"/>
    <w:rsid w:val="00C82539"/>
    <w:rsid w:val="00C844E4"/>
    <w:rsid w:val="00C90479"/>
    <w:rsid w:val="00C93E6D"/>
    <w:rsid w:val="00CA22B0"/>
    <w:rsid w:val="00CA3AF1"/>
    <w:rsid w:val="00CC2CFC"/>
    <w:rsid w:val="00CC59C6"/>
    <w:rsid w:val="00CD5633"/>
    <w:rsid w:val="00CE1B27"/>
    <w:rsid w:val="00CE3129"/>
    <w:rsid w:val="00CF5A0C"/>
    <w:rsid w:val="00D004A3"/>
    <w:rsid w:val="00D00AB7"/>
    <w:rsid w:val="00D0128C"/>
    <w:rsid w:val="00D045B9"/>
    <w:rsid w:val="00D14B16"/>
    <w:rsid w:val="00D15A4F"/>
    <w:rsid w:val="00D1706D"/>
    <w:rsid w:val="00D17523"/>
    <w:rsid w:val="00D20DD2"/>
    <w:rsid w:val="00D27FB1"/>
    <w:rsid w:val="00D30951"/>
    <w:rsid w:val="00D319D6"/>
    <w:rsid w:val="00D31B2D"/>
    <w:rsid w:val="00D34442"/>
    <w:rsid w:val="00D35C0D"/>
    <w:rsid w:val="00D4680C"/>
    <w:rsid w:val="00D46B7C"/>
    <w:rsid w:val="00D60794"/>
    <w:rsid w:val="00D67A9C"/>
    <w:rsid w:val="00D704EC"/>
    <w:rsid w:val="00D70615"/>
    <w:rsid w:val="00D73332"/>
    <w:rsid w:val="00D7791E"/>
    <w:rsid w:val="00D81393"/>
    <w:rsid w:val="00D82053"/>
    <w:rsid w:val="00D908B1"/>
    <w:rsid w:val="00DA504D"/>
    <w:rsid w:val="00DB007F"/>
    <w:rsid w:val="00DB4773"/>
    <w:rsid w:val="00DB6AC0"/>
    <w:rsid w:val="00DB6F28"/>
    <w:rsid w:val="00DC37A9"/>
    <w:rsid w:val="00DD53D9"/>
    <w:rsid w:val="00DD5DB8"/>
    <w:rsid w:val="00DE0A71"/>
    <w:rsid w:val="00DE1324"/>
    <w:rsid w:val="00DE24F9"/>
    <w:rsid w:val="00DE2FFD"/>
    <w:rsid w:val="00DE3926"/>
    <w:rsid w:val="00DE45EA"/>
    <w:rsid w:val="00DE7FB1"/>
    <w:rsid w:val="00DF06D0"/>
    <w:rsid w:val="00DF4903"/>
    <w:rsid w:val="00DF50FE"/>
    <w:rsid w:val="00DF5907"/>
    <w:rsid w:val="00DF6557"/>
    <w:rsid w:val="00DF7E44"/>
    <w:rsid w:val="00E014ED"/>
    <w:rsid w:val="00E05238"/>
    <w:rsid w:val="00E109D9"/>
    <w:rsid w:val="00E21F1C"/>
    <w:rsid w:val="00E23F16"/>
    <w:rsid w:val="00E249BA"/>
    <w:rsid w:val="00E33C14"/>
    <w:rsid w:val="00E34099"/>
    <w:rsid w:val="00E36EAB"/>
    <w:rsid w:val="00E41080"/>
    <w:rsid w:val="00E45098"/>
    <w:rsid w:val="00E5321A"/>
    <w:rsid w:val="00E551BD"/>
    <w:rsid w:val="00E60497"/>
    <w:rsid w:val="00E6104E"/>
    <w:rsid w:val="00E70ACE"/>
    <w:rsid w:val="00E7210F"/>
    <w:rsid w:val="00E7703B"/>
    <w:rsid w:val="00E80080"/>
    <w:rsid w:val="00E82A17"/>
    <w:rsid w:val="00E84ECC"/>
    <w:rsid w:val="00E850B2"/>
    <w:rsid w:val="00E85DD0"/>
    <w:rsid w:val="00E860C0"/>
    <w:rsid w:val="00E86F95"/>
    <w:rsid w:val="00E91505"/>
    <w:rsid w:val="00E95BDB"/>
    <w:rsid w:val="00E95DD3"/>
    <w:rsid w:val="00EA6850"/>
    <w:rsid w:val="00EB0777"/>
    <w:rsid w:val="00EC3518"/>
    <w:rsid w:val="00EC4D45"/>
    <w:rsid w:val="00EC5CA9"/>
    <w:rsid w:val="00EC6E62"/>
    <w:rsid w:val="00EC7D73"/>
    <w:rsid w:val="00ED5475"/>
    <w:rsid w:val="00ED5B19"/>
    <w:rsid w:val="00EE4FC9"/>
    <w:rsid w:val="00EE528B"/>
    <w:rsid w:val="00EF0189"/>
    <w:rsid w:val="00EF1367"/>
    <w:rsid w:val="00EF468F"/>
    <w:rsid w:val="00EF4C41"/>
    <w:rsid w:val="00F03792"/>
    <w:rsid w:val="00F0516B"/>
    <w:rsid w:val="00F07C8D"/>
    <w:rsid w:val="00F21655"/>
    <w:rsid w:val="00F21F75"/>
    <w:rsid w:val="00F22B4C"/>
    <w:rsid w:val="00F235DC"/>
    <w:rsid w:val="00F26C8A"/>
    <w:rsid w:val="00F31F06"/>
    <w:rsid w:val="00F34829"/>
    <w:rsid w:val="00F40DBF"/>
    <w:rsid w:val="00F42688"/>
    <w:rsid w:val="00F4316B"/>
    <w:rsid w:val="00F47E66"/>
    <w:rsid w:val="00F62727"/>
    <w:rsid w:val="00F64354"/>
    <w:rsid w:val="00F6656C"/>
    <w:rsid w:val="00F71920"/>
    <w:rsid w:val="00F7293E"/>
    <w:rsid w:val="00F80287"/>
    <w:rsid w:val="00F82CF0"/>
    <w:rsid w:val="00F844E7"/>
    <w:rsid w:val="00F8478A"/>
    <w:rsid w:val="00F90FE2"/>
    <w:rsid w:val="00F9125A"/>
    <w:rsid w:val="00FA0485"/>
    <w:rsid w:val="00FB1F04"/>
    <w:rsid w:val="00FB4B04"/>
    <w:rsid w:val="00FC1857"/>
    <w:rsid w:val="00FC2A02"/>
    <w:rsid w:val="00FC5773"/>
    <w:rsid w:val="00FC5EBD"/>
    <w:rsid w:val="00FC6B7E"/>
    <w:rsid w:val="00FD3395"/>
    <w:rsid w:val="00FD4C9F"/>
    <w:rsid w:val="00FD76F4"/>
    <w:rsid w:val="00FE5FB8"/>
    <w:rsid w:val="00FF07FC"/>
    <w:rsid w:val="26C86A34"/>
    <w:rsid w:val="3D123B3C"/>
    <w:rsid w:val="40134CD1"/>
    <w:rsid w:val="6C9D7628"/>
    <w:rsid w:val="7C3D6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10"/>
    <w:qFormat/>
    <w:uiPriority w:val="99"/>
    <w:rPr>
      <w:rFonts w:ascii="宋体" w:hAnsi="Courier New" w:eastAsia="仿宋_GB2312"/>
      <w:sz w:val="30"/>
      <w:szCs w:val="20"/>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9">
    <w:name w:val="Char"/>
    <w:basedOn w:val="1"/>
    <w:qFormat/>
    <w:uiPriority w:val="0"/>
    <w:pPr>
      <w:widowControl/>
      <w:spacing w:after="160" w:line="240" w:lineRule="exact"/>
      <w:jc w:val="left"/>
    </w:pPr>
    <w:rPr>
      <w:rFonts w:ascii="Verdana" w:hAnsi="Verdana" w:eastAsia="仿宋_GB2312"/>
      <w:kern w:val="0"/>
      <w:sz w:val="24"/>
      <w:szCs w:val="20"/>
      <w:lang w:eastAsia="en-US"/>
    </w:rPr>
  </w:style>
  <w:style w:type="character" w:customStyle="1" w:styleId="10">
    <w:name w:val="纯文本 Char"/>
    <w:basedOn w:val="5"/>
    <w:link w:val="2"/>
    <w:qFormat/>
    <w:locked/>
    <w:uiPriority w:val="99"/>
    <w:rPr>
      <w:rFonts w:ascii="宋体" w:hAnsi="Courier New" w:eastAsia="仿宋_GB2312"/>
      <w:kern w:val="2"/>
      <w:sz w:val="30"/>
      <w:lang w:val="en-US" w:eastAsia="zh-CN" w:bidi="ar-SA"/>
    </w:rPr>
  </w:style>
  <w:style w:type="character" w:customStyle="1" w:styleId="11">
    <w:name w:val="Char Char3"/>
    <w:basedOn w:val="5"/>
    <w:qFormat/>
    <w:uiPriority w:val="0"/>
    <w:rPr>
      <w:rFonts w:ascii="宋体" w:hAnsi="Courier New" w:eastAsia="仿宋_GB2312"/>
      <w:kern w:val="2"/>
      <w:sz w:val="30"/>
    </w:rPr>
  </w:style>
  <w:style w:type="character" w:customStyle="1" w:styleId="12">
    <w:name w:val="页眉 Char"/>
    <w:basedOn w:val="5"/>
    <w:link w:val="4"/>
    <w:qFormat/>
    <w:uiPriority w:val="0"/>
    <w:rPr>
      <w:kern w:val="2"/>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279</Words>
  <Characters>1594</Characters>
  <Lines>13</Lines>
  <Paragraphs>3</Paragraphs>
  <TotalTime>81</TotalTime>
  <ScaleCrop>false</ScaleCrop>
  <LinksUpToDate>false</LinksUpToDate>
  <CharactersWithSpaces>1870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2016-07-15T06:58:00Z</dcterms:created>
  <dc:creator>User</dc:creator>
  <cp:lastModifiedBy>TF-PC</cp:lastModifiedBy>
  <dcterms:modified xsi:type="dcterms:W3CDTF">2018-08-27T09:39:51Z</dcterms:modified>
  <dc:title>天津市河西区人民法院</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