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2761"/>
          <w:sz w:val="32"/>
          <w:szCs w:val="32"/>
        </w:rPr>
        <w:t xml:space="preserve">Narrativa de Datos para la Transformación Digital</w:t>
      </w:r>
    </w:p>
    <w:p>
      <w:pPr>
        <w:spacing w:after="20"/>
      </w:pPr>
      <w:r>
        <w:rPr>
          <w:rFonts w:ascii="Calibri" w:cs="Calibri" w:eastAsia="Calibri" w:hAnsi="Calibri"/>
          <w:i/>
          <w:iCs/>
          <w:color w:val="5B6178"/>
          <w:sz w:val="20"/>
          <w:szCs w:val="20"/>
        </w:rPr>
        <w:t xml:space="preserve">Requerimiento 1 — Análisis y definición de la narrativa</w:t>
      </w:r>
    </w:p>
    <w:p>
      <w:pPr>
        <w:spacing w:after="260"/>
      </w:pPr>
      <w:r>
        <w:rPr>
          <w:rFonts w:ascii="Calibri" w:cs="Calibri" w:eastAsia="Calibri" w:hAnsi="Calibri"/>
          <w:color w:val="5B6178"/>
          <w:sz w:val="20"/>
          <w:szCs w:val="20"/>
        </w:rPr>
        <w:t xml:space="preserve">Caso TechCorp — 18 meses de transformación digital</w:t>
      </w:r>
    </w:p>
    <w:p>
      <w:pPr>
        <w:pStyle w:val="Heading1"/>
        <w:spacing w:after="140" w:before="280"/>
      </w:pPr>
      <w:r>
        <w:rPr>
          <w:rFonts w:ascii="Calibri" w:cs="Calibri" w:eastAsia="Calibri" w:hAnsi="Calibri"/>
          <w:b/>
          <w:bCs/>
          <w:color w:val="1E2761"/>
          <w:sz w:val="27"/>
          <w:szCs w:val="27"/>
        </w:rPr>
        <w:t xml:space="preserve">1. Insight principal</w:t>
      </w:r>
    </w:p>
    <w:p>
      <w:pPr>
        <w:spacing w:after="130" w:line="264"/>
        <w:jc w:val="both"/>
      </w:pPr>
      <w:r>
        <w:rPr>
          <w:rFonts w:ascii="Calibri" w:cs="Calibri" w:eastAsia="Calibri" w:hAnsi="Calibri"/>
          <w:sz w:val="21"/>
          <w:szCs w:val="21"/>
        </w:rPr>
        <w:t xml:space="preserve">La transformación digital de TechCorp fue un éxito medible en el plano operacional: productividad +18,1%, tasa de defectos -57,1%, NPS +61,9% y un ROI que pasó de -15% a territorio positivo desde el noveno mes. Pero ese éxito se construyó sacrificando el bienestar del equipo humano de forma sostenida durante los 18 meses: la satisfacción de los empleados cayó 14,7% y la rotación de personal casi se duplicó (+87,5%). Ese costo, que parecía "aceptable" mientras los números de negocio subían, empezó a pasar la cuenta en el mes más reciente disponible (enero 2025): los tres indicadores de adopción digital —empleados capacitados, procesos digitalizados y uso de la plataforma— cayeron simultáneamente entre 15 y 20 puntos porcentuales, y la resistencia al cambio, que llevaba un año completo bajando, volvió a subir.</w:t>
      </w:r>
    </w:p>
    <w:p>
      <w:pPr>
        <w:spacing w:after="130" w:line="264"/>
        <w:jc w:val="both"/>
      </w:pPr>
      <w:r>
        <w:rPr>
          <w:rFonts w:ascii="Calibri" w:cs="Calibri" w:eastAsia="Calibri" w:hAnsi="Calibri"/>
          <w:b/>
          <w:bCs/>
          <w:sz w:val="21"/>
          <w:szCs w:val="21"/>
        </w:rPr>
        <w:t xml:space="preserve">La lectura correcta de los datos no es “¿la transformación funcionó?”, sino “¿es sostenible seguir así?”</w:t>
      </w:r>
    </w:p>
    <w:p>
      <w:pPr>
        <w:pStyle w:val="Heading1"/>
        <w:spacing w:after="140" w:before="280"/>
      </w:pPr>
      <w:r>
        <w:rPr>
          <w:rFonts w:ascii="Calibri" w:cs="Calibri" w:eastAsia="Calibri" w:hAnsi="Calibri"/>
          <w:b/>
          <w:bCs/>
          <w:color w:val="1E2761"/>
          <w:sz w:val="27"/>
          <w:szCs w:val="27"/>
        </w:rPr>
        <w:t xml:space="preserve">2. Punto principal de la historia</w:t>
      </w:r>
    </w:p>
    <w:tbl>
      <w:tblPr>
        <w:tblW w:type="dxa" w:w="9000"/>
        <w:tblBorders>
          <w:top w:val="single" w:color="1E2761" w:sz="4"/>
          <w:left w:val="single" w:color="1E2761" w:sz="24"/>
          <w:bottom w:val="single" w:color="1E2761" w:sz="4"/>
          <w:right w:val="single" w:color="1E2761" w:sz="4"/>
          <w:insideH w:val="single" w:color="auto" w:sz="4"/>
          <w:insideV w:val="single" w:color="auto" w:sz="4"/>
        </w:tblBorders>
      </w:tblPr>
      <w:tblGrid>
        <w:gridCol w:w="9000"/>
      </w:tblGrid>
      <w:tr>
        <w:tc>
          <w:tcPr>
            <w:tcW w:type="dxa" w:w="9000"/>
            <w:shd w:fill="F7F8FC" w:val="clear"/>
            <w:tcMar>
              <w:top w:type="dxa" w:w="160"/>
              <w:left w:type="dxa" w:w="220"/>
              <w:bottom w:type="dxa" w:w="160"/>
              <w:right w:type="dxa" w:w="220"/>
            </w:tcMar>
          </w:tcPr>
          <w:p>
            <w:r>
              <w:rPr>
                <w:rFonts w:ascii="Calibri" w:cs="Calibri" w:eastAsia="Calibri" w:hAnsi="Calibri"/>
                <w:b/>
                <w:bCs/>
                <w:i/>
                <w:iCs/>
                <w:color w:val="1E2761"/>
                <w:sz w:val="24"/>
                <w:szCs w:val="24"/>
              </w:rPr>
              <w:t xml:space="preserve">TechCorp ganó la batalla operacional de la transformación digital, pero puede perder la guerra si no resuelve el desgaste humano que la sostiene.</w:t>
            </w:r>
          </w:p>
        </w:tc>
      </w:tr>
    </w:tbl>
    <w:p>
      <w:pPr>
        <w:pStyle w:val="Heading1"/>
        <w:spacing w:after="140" w:before="280"/>
      </w:pPr>
      <w:r>
        <w:rPr>
          <w:rFonts w:ascii="Calibri" w:cs="Calibri" w:eastAsia="Calibri" w:hAnsi="Calibri"/>
          <w:b/>
          <w:bCs/>
          <w:color w:val="1E2761"/>
          <w:sz w:val="27"/>
          <w:szCs w:val="27"/>
        </w:rPr>
        <w:t xml:space="preserve">3. Estructura narrativa</w:t>
      </w:r>
    </w:p>
    <w:p>
      <w:pPr>
        <w:pStyle w:val="Heading2"/>
        <w:spacing w:after="90" w:before="200"/>
      </w:pPr>
      <w:r>
        <w:rPr>
          <w:rFonts w:ascii="Calibri" w:cs="Calibri" w:eastAsia="Calibri" w:hAnsi="Calibri"/>
          <w:b/>
          <w:bCs/>
          <w:color w:val="1E2761"/>
          <w:sz w:val="22"/>
          <w:szCs w:val="22"/>
        </w:rPr>
        <w:t xml:space="preserve">Inicio — Contexto</w:t>
      </w:r>
    </w:p>
    <w:p>
      <w:pPr>
        <w:spacing w:after="130" w:line="264"/>
        <w:jc w:val="both"/>
      </w:pPr>
      <w:r>
        <w:rPr>
          <w:rFonts w:ascii="Calibri" w:cs="Calibri" w:eastAsia="Calibri" w:hAnsi="Calibri"/>
          <w:sz w:val="21"/>
          <w:szCs w:val="21"/>
        </w:rPr>
        <w:t xml:space="preserve">En julio de 2023, TechCorp —una manufacturera tradicional— inicia un proceso de transformación digital con productividad estancada (72 puntos), una tasa de defectos alta (4,2%) y una relación costo-beneficio negativa (ROI de -15%). El objetivo declarado era modernizar la operación; lo que no estaba en el radar inicial era el costo humano que ese cambio traería consigo.</w:t>
      </w:r>
    </w:p>
    <w:p>
      <w:pPr>
        <w:pStyle w:val="Heading2"/>
        <w:spacing w:after="90" w:before="200"/>
      </w:pPr>
      <w:r>
        <w:rPr>
          <w:rFonts w:ascii="Calibri" w:cs="Calibri" w:eastAsia="Calibri" w:hAnsi="Calibri"/>
          <w:b/>
          <w:bCs/>
          <w:color w:val="1E2761"/>
          <w:sz w:val="22"/>
          <w:szCs w:val="22"/>
        </w:rPr>
        <w:t xml:space="preserve">Nudo — Hallazgos</w:t>
      </w:r>
    </w:p>
    <w:p>
      <w:pPr>
        <w:spacing w:after="130" w:line="264"/>
        <w:jc w:val="both"/>
      </w:pPr>
      <w:r>
        <w:rPr>
          <w:rFonts w:ascii="Calibri" w:cs="Calibri" w:eastAsia="Calibri" w:hAnsi="Calibri"/>
          <w:sz w:val="21"/>
          <w:szCs w:val="21"/>
        </w:rPr>
        <w:t xml:space="preserve">Durante los primeros ocho meses el cambio genera resistencia natural (el score de resistencia parte en 7,5 y desciende), pero a partir de marzo de 2024 el ROI cruza a terreno positivo, y desde ahí los indicadores operacionales mejoran mes a mes sin pausa. En paralelo —y sin que nadie lo estuviera monitoreando como una señal de alerta— la satisfacción de los empleados cae de forma sostenida (68 → 56 puntos) y la rotación sube sin freno (8,0% → 14,3%). En noviembre de 2024, TechCorp alcanza su punto máximo de madurez digital: 99,5% de empleados capacitados, 88,5% usando la plataforma. Es también, sin saberlo, el techo: en enero de 2025 —el dato más reciente— los tres indicadores digitales caen a la vez (entre 15 y 20 puntos porcentuales) y la resistencia al cambio vuelve a subir por primera vez en el período.</w:t>
      </w:r>
    </w:p>
    <w:p>
      <w:pPr>
        <w:pStyle w:val="Heading2"/>
        <w:spacing w:after="90" w:before="200"/>
      </w:pPr>
      <w:r>
        <w:rPr>
          <w:rFonts w:ascii="Calibri" w:cs="Calibri" w:eastAsia="Calibri" w:hAnsi="Calibri"/>
          <w:b/>
          <w:bCs/>
          <w:color w:val="1E2761"/>
          <w:sz w:val="22"/>
          <w:szCs w:val="22"/>
        </w:rPr>
        <w:t xml:space="preserve">Desenlace — Recomendaciones</w:t>
      </w:r>
    </w:p>
    <w:p>
      <w:pPr>
        <w:spacing w:after="130" w:line="264"/>
        <w:jc w:val="both"/>
      </w:pPr>
      <w:r>
        <w:rPr>
          <w:rFonts w:ascii="Calibri" w:cs="Calibri" w:eastAsia="Calibri" w:hAnsi="Calibri"/>
          <w:sz w:val="21"/>
          <w:szCs w:val="21"/>
        </w:rPr>
        <w:t xml:space="preserve">El dato de enero no es ruido estadístico: es la primera señal de que el modelo de transformación, tal como se ejecutó, no es sostenible en el tiempo sin atender el desgaste humano acumulado. La recomendación no es frenar la inversión —el ROI la justifica—, sino redirigir parte de ella hacia retención de talento, cobertura de las 18 vacantes tech críticas que hoy están sin cubrir, y un plan de acompañamiento al cambio que reduzca las horas extra y la rotación antes de que erosionen las ganancias operacionales ya conseguidas.</w:t>
      </w:r>
    </w:p>
    <w:p>
      <w:pPr>
        <w:pStyle w:val="Heading1"/>
        <w:spacing w:after="140" w:before="280"/>
      </w:pPr>
      <w:r>
        <w:rPr>
          <w:rFonts w:ascii="Calibri" w:cs="Calibri" w:eastAsia="Calibri" w:hAnsi="Calibri"/>
          <w:b/>
          <w:bCs/>
          <w:color w:val="1E2761"/>
          <w:sz w:val="27"/>
          <w:szCs w:val="27"/>
        </w:rPr>
        <w:t xml:space="preserve">4. Audiencia: el CEO</w:t>
      </w:r>
    </w:p>
    <w:p>
      <w:pPr>
        <w:spacing w:after="130" w:line="264"/>
        <w:jc w:val="both"/>
      </w:pPr>
      <w:r>
        <w:rPr>
          <w:rFonts w:ascii="Calibri" w:cs="Calibri" w:eastAsia="Calibri" w:hAnsi="Calibri"/>
          <w:sz w:val="21"/>
          <w:szCs w:val="21"/>
        </w:rPr>
        <w:t xml:space="preserve">La audiencia es el CEO, quien debe decidir si continuar invirtiendo en la transformación. Esto exige un lenguaje ejecutivo: pocos números, pero los correctos —ROI, productividad, riesgo de fuga de talento— sin detenerse en el detalle técnico de cada KPI de adopción digital. También exige balance: un CEO que solo escucha buenas noticias baja la guardia frente a un riesgo real; uno que solo escucha problemas corta una inversión que ya está dando resultado. La narrativa debe sostener ambas verdades a la vez —el éxito es real, el riesgo también— y cerrar en una decisión concreta, no en un diagnóstico abierto.</w:t>
      </w:r>
    </w:p>
    <w:p>
      <w:pPr>
        <w:pStyle w:val="Heading1"/>
        <w:spacing w:after="140" w:before="280"/>
      </w:pPr>
      <w:r>
        <w:rPr>
          <w:rFonts w:ascii="Calibri" w:cs="Calibri" w:eastAsia="Calibri" w:hAnsi="Calibri"/>
          <w:b/>
          <w:bCs/>
          <w:color w:val="1E2761"/>
          <w:sz w:val="27"/>
          <w:szCs w:val="27"/>
        </w:rPr>
        <w:t xml:space="preserve">5. Flujo narrativo (5 pasos)</w:t>
      </w:r>
    </w:p>
    <w:tbl>
      <w:tblPr>
        <w:tblW w:type="dxa" w:w="9000"/>
        <w:tblBorders>
          <w:top w:val="single" w:color="D8DBE0" w:sz="4"/>
          <w:left w:val="single" w:color="D8DBE0" w:sz="4"/>
          <w:bottom w:val="single" w:color="D8DBE0" w:sz="4"/>
          <w:right w:val="single" w:color="D8DBE0" w:sz="4"/>
          <w:insideH w:val="single" w:color="D8DBE0" w:sz="4"/>
          <w:insideV w:val="single" w:color="D8DBE0" w:sz="4"/>
        </w:tblBorders>
      </w:tblPr>
      <w:tblGrid>
        <w:gridCol w:w="700"/>
        <w:gridCol w:w="8300"/>
      </w:tblGrid>
      <w:tr>
        <w:tc>
          <w:tcPr>
            <w:tcW w:type="dxa" w:w="2200"/>
            <w:shd w:fill="1E2761"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N°</w:t>
            </w:r>
          </w:p>
        </w:tc>
        <w:tc>
          <w:tcPr>
            <w:tcW w:type="dxa" w:w="2200"/>
            <w:shd w:fill="1E2761" w:val="clear"/>
            <w:tcMar>
              <w:top w:type="dxa" w:w="70"/>
              <w:left w:type="dxa" w:w="100"/>
              <w:bottom w:type="dxa" w:w="70"/>
              <w:right w:type="dxa" w:w="100"/>
            </w:tcMar>
            <w:vAlign w:val="center"/>
          </w:tcPr>
          <w:p>
            <w:r>
              <w:rPr>
                <w:rFonts w:ascii="Calibri" w:cs="Calibri" w:eastAsia="Calibri" w:hAnsi="Calibri"/>
                <w:b/>
                <w:bCs/>
                <w:color w:val="FFFFFF"/>
                <w:sz w:val="19"/>
                <w:szCs w:val="19"/>
              </w:rPr>
              <w:t xml:space="preserve">Paso</w:t>
            </w:r>
          </w:p>
        </w:tc>
      </w:tr>
      <w:tr>
        <w:tc>
          <w:tcPr>
            <w:tcW w:type="dxa" w:w="2200"/>
            <w:tcMar>
              <w:top w:type="dxa" w:w="70"/>
              <w:left w:type="dxa" w:w="100"/>
              <w:bottom w:type="dxa" w:w="70"/>
              <w:right w:type="dxa" w:w="100"/>
            </w:tcMar>
            <w:vAlign w:val="center"/>
          </w:tcPr>
          <w:p>
            <w:r>
              <w:rPr>
                <w:rFonts w:ascii="Calibri" w:cs="Calibri" w:eastAsia="Calibri" w:hAnsi="Calibri"/>
                <w:b/>
                <w:bCs/>
                <w:color w:val="1F2937"/>
                <w:sz w:val="19"/>
                <w:szCs w:val="19"/>
              </w:rPr>
              <w:t xml:space="preserve">1</w:t>
            </w:r>
          </w:p>
        </w:tc>
        <w:tc>
          <w:tcPr>
            <w:tcW w:type="dxa" w:w="2200"/>
            <w:tcMar>
              <w:top w:type="dxa" w:w="70"/>
              <w:left w:type="dxa" w:w="100"/>
              <w:bottom w:type="dxa" w:w="70"/>
              <w:right w:type="dxa" w:w="100"/>
            </w:tcMar>
            <w:vAlign w:val="center"/>
          </w:tcPr>
          <w:p>
            <w:r>
              <w:rPr>
                <w:rFonts w:ascii="Calibri" w:cs="Calibri" w:eastAsia="Calibri" w:hAnsi="Calibri"/>
                <w:b w:val="false"/>
                <w:bCs w:val="false"/>
                <w:color w:val="1F2937"/>
                <w:sz w:val="19"/>
                <w:szCs w:val="19"/>
              </w:rPr>
              <w:t xml:space="preserve">Contexto: dónde estaba TechCorp hace 18 meses (productividad estancada, ROI negativo).</w:t>
            </w:r>
          </w:p>
        </w:tc>
      </w:tr>
      <w:tr>
        <w:tc>
          <w:tcPr>
            <w:tcW w:type="dxa" w:w="2200"/>
            <w:tcMar>
              <w:top w:type="dxa" w:w="70"/>
              <w:left w:type="dxa" w:w="100"/>
              <w:bottom w:type="dxa" w:w="70"/>
              <w:right w:type="dxa" w:w="100"/>
            </w:tcMar>
            <w:vAlign w:val="center"/>
          </w:tcPr>
          <w:p>
            <w:r>
              <w:rPr>
                <w:rFonts w:ascii="Calibri" w:cs="Calibri" w:eastAsia="Calibri" w:hAnsi="Calibri"/>
                <w:b/>
                <w:bCs/>
                <w:color w:val="1F2937"/>
                <w:sz w:val="19"/>
                <w:szCs w:val="19"/>
              </w:rPr>
              <w:t xml:space="preserve">2</w:t>
            </w:r>
          </w:p>
        </w:tc>
        <w:tc>
          <w:tcPr>
            <w:tcW w:type="dxa" w:w="2200"/>
            <w:tcMar>
              <w:top w:type="dxa" w:w="70"/>
              <w:left w:type="dxa" w:w="100"/>
              <w:bottom w:type="dxa" w:w="70"/>
              <w:right w:type="dxa" w:w="100"/>
            </w:tcMar>
            <w:vAlign w:val="center"/>
          </w:tcPr>
          <w:p>
            <w:r>
              <w:rPr>
                <w:rFonts w:ascii="Calibri" w:cs="Calibri" w:eastAsia="Calibri" w:hAnsi="Calibri"/>
                <w:b w:val="false"/>
                <w:bCs w:val="false"/>
                <w:color w:val="1F2937"/>
                <w:sz w:val="19"/>
                <w:szCs w:val="19"/>
              </w:rPr>
              <w:t xml:space="preserve">Los números buenos: qué mejoró y cuánto (productividad, defectos, NPS, ROI).</w:t>
            </w:r>
          </w:p>
        </w:tc>
      </w:tr>
      <w:tr>
        <w:tc>
          <w:tcPr>
            <w:tcW w:type="dxa" w:w="2200"/>
            <w:tcMar>
              <w:top w:type="dxa" w:w="70"/>
              <w:left w:type="dxa" w:w="100"/>
              <w:bottom w:type="dxa" w:w="70"/>
              <w:right w:type="dxa" w:w="100"/>
            </w:tcMar>
            <w:vAlign w:val="center"/>
          </w:tcPr>
          <w:p>
            <w:r>
              <w:rPr>
                <w:rFonts w:ascii="Calibri" w:cs="Calibri" w:eastAsia="Calibri" w:hAnsi="Calibri"/>
                <w:b/>
                <w:bCs/>
                <w:color w:val="1F2937"/>
                <w:sz w:val="19"/>
                <w:szCs w:val="19"/>
              </w:rPr>
              <w:t xml:space="preserve">3</w:t>
            </w:r>
          </w:p>
        </w:tc>
        <w:tc>
          <w:tcPr>
            <w:tcW w:type="dxa" w:w="2200"/>
            <w:tcMar>
              <w:top w:type="dxa" w:w="70"/>
              <w:left w:type="dxa" w:w="100"/>
              <w:bottom w:type="dxa" w:w="70"/>
              <w:right w:type="dxa" w:w="100"/>
            </w:tcMar>
            <w:vAlign w:val="center"/>
          </w:tcPr>
          <w:p>
            <w:r>
              <w:rPr>
                <w:rFonts w:ascii="Calibri" w:cs="Calibri" w:eastAsia="Calibri" w:hAnsi="Calibri"/>
                <w:b w:val="false"/>
                <w:bCs w:val="false"/>
                <w:color w:val="1F2937"/>
                <w:sz w:val="19"/>
                <w:szCs w:val="19"/>
              </w:rPr>
              <w:t xml:space="preserve">El costo oculto: qué empeoró en paralelo, sin tratarse como alerta (satisfacción, rotación).</w:t>
            </w:r>
          </w:p>
        </w:tc>
      </w:tr>
      <w:tr>
        <w:tc>
          <w:tcPr>
            <w:tcW w:type="dxa" w:w="2200"/>
            <w:tcMar>
              <w:top w:type="dxa" w:w="70"/>
              <w:left w:type="dxa" w:w="100"/>
              <w:bottom w:type="dxa" w:w="70"/>
              <w:right w:type="dxa" w:w="100"/>
            </w:tcMar>
            <w:vAlign w:val="center"/>
          </w:tcPr>
          <w:p>
            <w:r>
              <w:rPr>
                <w:rFonts w:ascii="Calibri" w:cs="Calibri" w:eastAsia="Calibri" w:hAnsi="Calibri"/>
                <w:b/>
                <w:bCs/>
                <w:color w:val="1F2937"/>
                <w:sz w:val="19"/>
                <w:szCs w:val="19"/>
              </w:rPr>
              <w:t xml:space="preserve">4</w:t>
            </w:r>
          </w:p>
        </w:tc>
        <w:tc>
          <w:tcPr>
            <w:tcW w:type="dxa" w:w="2200"/>
            <w:tcMar>
              <w:top w:type="dxa" w:w="70"/>
              <w:left w:type="dxa" w:w="100"/>
              <w:bottom w:type="dxa" w:w="70"/>
              <w:right w:type="dxa" w:w="100"/>
            </w:tcMar>
            <w:vAlign w:val="center"/>
          </w:tcPr>
          <w:p>
            <w:r>
              <w:rPr>
                <w:rFonts w:ascii="Calibri" w:cs="Calibri" w:eastAsia="Calibri" w:hAnsi="Calibri"/>
                <w:b w:val="false"/>
                <w:bCs w:val="false"/>
                <w:color w:val="1F2937"/>
                <w:sz w:val="19"/>
                <w:szCs w:val="19"/>
              </w:rPr>
              <w:t xml:space="preserve">La grieta: qué ocurrió en el último mes (reversión simultánea de 3 indicadores digitales).</w:t>
            </w:r>
          </w:p>
        </w:tc>
      </w:tr>
      <w:tr>
        <w:tc>
          <w:tcPr>
            <w:tcW w:type="dxa" w:w="2200"/>
            <w:tcMar>
              <w:top w:type="dxa" w:w="70"/>
              <w:left w:type="dxa" w:w="100"/>
              <w:bottom w:type="dxa" w:w="70"/>
              <w:right w:type="dxa" w:w="100"/>
            </w:tcMar>
            <w:vAlign w:val="center"/>
          </w:tcPr>
          <w:p>
            <w:r>
              <w:rPr>
                <w:rFonts w:ascii="Calibri" w:cs="Calibri" w:eastAsia="Calibri" w:hAnsi="Calibri"/>
                <w:b/>
                <w:bCs/>
                <w:color w:val="1F2937"/>
                <w:sz w:val="19"/>
                <w:szCs w:val="19"/>
              </w:rPr>
              <w:t xml:space="preserve">5</w:t>
            </w:r>
          </w:p>
        </w:tc>
        <w:tc>
          <w:tcPr>
            <w:tcW w:type="dxa" w:w="2200"/>
            <w:tcMar>
              <w:top w:type="dxa" w:w="70"/>
              <w:left w:type="dxa" w:w="100"/>
              <w:bottom w:type="dxa" w:w="70"/>
              <w:right w:type="dxa" w:w="100"/>
            </w:tcMar>
            <w:vAlign w:val="center"/>
          </w:tcPr>
          <w:p>
            <w:r>
              <w:rPr>
                <w:rFonts w:ascii="Calibri" w:cs="Calibri" w:eastAsia="Calibri" w:hAnsi="Calibri"/>
                <w:b w:val="false"/>
                <w:bCs w:val="false"/>
                <w:color w:val="1F2937"/>
                <w:sz w:val="19"/>
                <w:szCs w:val="19"/>
              </w:rPr>
              <w:t xml:space="preserve">La decisión: qué se recomienda hacer con la inversión de aquí en adelante.</w:t>
            </w:r>
          </w:p>
        </w:tc>
      </w:tr>
    </w:tbl>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2026-09-04T02:07:43.386Z</dcterms:created>
  <dcterms:modified xsi:type="dcterms:W3CDTF">2026-09-04T02:07:43.393Z</dcterms:modified>
</cp:coreProperties>
</file>

<file path=docProps/custom.xml><?xml version="1.0" encoding="utf-8"?>
<Properties xmlns="http://schemas.openxmlformats.org/officeDocument/2006/custom-properties" xmlns:vt="http://schemas.openxmlformats.org/officeDocument/2006/docPropsVTypes"/>
</file>