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0726E" w14:textId="77777777" w:rsidR="00767BEF" w:rsidRPr="009441F9" w:rsidRDefault="009456B6">
      <w:r w:rsidRPr="009441F9">
        <w:t xml:space="preserve">Emily </w:t>
      </w:r>
      <w:proofErr w:type="spellStart"/>
      <w:r w:rsidRPr="009441F9">
        <w:t>Mikucki</w:t>
      </w:r>
      <w:proofErr w:type="spellEnd"/>
    </w:p>
    <w:p w14:paraId="74B2CF02" w14:textId="77777777" w:rsidR="009456B6" w:rsidRPr="009441F9" w:rsidRDefault="009456B6">
      <w:r w:rsidRPr="009441F9">
        <w:t>Ecological Genomics</w:t>
      </w:r>
    </w:p>
    <w:p w14:paraId="13009BA4" w14:textId="72788BE2" w:rsidR="009456B6" w:rsidRDefault="009456B6">
      <w:r w:rsidRPr="009441F9">
        <w:t>Assignment #2</w:t>
      </w:r>
    </w:p>
    <w:p w14:paraId="3283E393" w14:textId="6AC6545D" w:rsidR="009B2C7D" w:rsidRPr="003D0366" w:rsidRDefault="009B2C7D" w:rsidP="009B2C7D">
      <w:pPr>
        <w:jc w:val="center"/>
        <w:rPr>
          <w:b/>
        </w:rPr>
      </w:pPr>
      <w:r w:rsidRPr="003D0366">
        <w:rPr>
          <w:b/>
        </w:rPr>
        <w:t>Differential gene expression in male and female dung beetles</w:t>
      </w:r>
    </w:p>
    <w:p w14:paraId="559F562A" w14:textId="77777777" w:rsidR="009B2C7D" w:rsidRPr="009441F9" w:rsidRDefault="009B2C7D" w:rsidP="009B2C7D">
      <w:pPr>
        <w:jc w:val="center"/>
      </w:pPr>
    </w:p>
    <w:p w14:paraId="608EA624" w14:textId="7525A0F7" w:rsidR="009B2C7D" w:rsidRPr="00CB2C45" w:rsidRDefault="00F604AC" w:rsidP="00543B86">
      <w:pPr>
        <w:ind w:firstLine="720"/>
      </w:pPr>
      <w:r w:rsidRPr="009441F9">
        <w:t>For th</w:t>
      </w:r>
      <w:r w:rsidR="009441F9" w:rsidRPr="009441F9">
        <w:t xml:space="preserve">is </w:t>
      </w:r>
      <w:r w:rsidR="00061B7D">
        <w:t>study</w:t>
      </w:r>
      <w:r w:rsidR="009441F9" w:rsidRPr="009441F9">
        <w:t>, our goal was</w:t>
      </w:r>
      <w:r w:rsidRPr="009441F9">
        <w:t xml:space="preserve"> to </w:t>
      </w:r>
      <w:r w:rsidR="00927E2E">
        <w:t xml:space="preserve">use RNA-seq data to </w:t>
      </w:r>
      <w:r w:rsidRPr="009441F9">
        <w:t xml:space="preserve">identify the genes that are differentially expressed between </w:t>
      </w:r>
      <w:r w:rsidR="00B535E7">
        <w:t xml:space="preserve">day-4 </w:t>
      </w:r>
      <w:r w:rsidRPr="009441F9">
        <w:t xml:space="preserve">male and female </w:t>
      </w:r>
      <w:r w:rsidRPr="009441F9">
        <w:rPr>
          <w:i/>
        </w:rPr>
        <w:t xml:space="preserve">Onthophagus </w:t>
      </w:r>
      <w:proofErr w:type="gramStart"/>
      <w:r w:rsidRPr="009441F9">
        <w:rPr>
          <w:i/>
        </w:rPr>
        <w:t>taurus</w:t>
      </w:r>
      <w:proofErr w:type="gramEnd"/>
      <w:r w:rsidR="00825A9C">
        <w:t xml:space="preserve"> </w:t>
      </w:r>
      <w:r w:rsidR="009441F9" w:rsidRPr="009441F9">
        <w:rPr>
          <w:rFonts w:cs="Times New Roman"/>
        </w:rPr>
        <w:t>dung beetle</w:t>
      </w:r>
      <w:r w:rsidR="00825A9C">
        <w:t>s</w:t>
      </w:r>
      <w:r w:rsidRPr="009441F9">
        <w:t xml:space="preserve"> </w:t>
      </w:r>
      <w:r w:rsidR="007B7ED9">
        <w:t>from</w:t>
      </w:r>
      <w:r w:rsidR="0002357C">
        <w:t xml:space="preserve"> </w:t>
      </w:r>
      <w:r w:rsidR="000A084F">
        <w:t xml:space="preserve">populations in </w:t>
      </w:r>
      <w:r w:rsidR="00A62D87" w:rsidRPr="009441F9">
        <w:t xml:space="preserve">Italy, Western Australia, </w:t>
      </w:r>
      <w:r w:rsidR="005723E8">
        <w:t>and North Carolina.</w:t>
      </w:r>
      <w:r w:rsidR="00FB6703">
        <w:t xml:space="preserve"> </w:t>
      </w:r>
      <w:r w:rsidR="0045268C">
        <w:t xml:space="preserve">Gene expression using </w:t>
      </w:r>
      <w:r w:rsidR="00FB6703">
        <w:t>RNA-seq allows us to identify</w:t>
      </w:r>
      <w:r w:rsidR="005A7412">
        <w:t xml:space="preserve"> and analyze genes </w:t>
      </w:r>
      <w:r w:rsidR="004E6CA9">
        <w:t xml:space="preserve">in non-model organisms. </w:t>
      </w:r>
      <w:r w:rsidR="0045268C">
        <w:t>In this study, d</w:t>
      </w:r>
      <w:r w:rsidR="00360F57">
        <w:t>ete</w:t>
      </w:r>
      <w:r w:rsidR="000E4A08">
        <w:t>r</w:t>
      </w:r>
      <w:r w:rsidR="00360F57">
        <w:t>mining</w:t>
      </w:r>
      <w:r w:rsidR="00136572">
        <w:t xml:space="preserve"> the genes that are differentially expressed between the sexes could help us better understand the mechanisms that drive the </w:t>
      </w:r>
      <w:r w:rsidR="00360F57">
        <w:t>disparate horn-to-</w:t>
      </w:r>
      <w:r w:rsidR="00136572">
        <w:t>body size ratio observed in male beetles</w:t>
      </w:r>
      <w:r w:rsidR="001C04B2">
        <w:t xml:space="preserve"> across </w:t>
      </w:r>
      <w:r w:rsidR="00432CB3">
        <w:t xml:space="preserve">geographically distinct </w:t>
      </w:r>
      <w:r w:rsidR="001C04B2">
        <w:t>populations</w:t>
      </w:r>
      <w:r w:rsidR="00136572">
        <w:t xml:space="preserve">. Patterns in differential gene expression (DGE) could also indicate which genes are </w:t>
      </w:r>
      <w:r w:rsidR="001C30A4">
        <w:t>up regulated</w:t>
      </w:r>
      <w:r w:rsidR="0097544C">
        <w:t xml:space="preserve"> in</w:t>
      </w:r>
      <w:r w:rsidR="00BB5857">
        <w:t xml:space="preserve"> males, </w:t>
      </w:r>
      <w:r w:rsidR="0097544C">
        <w:t xml:space="preserve">relative </w:t>
      </w:r>
      <w:r w:rsidR="0097544C" w:rsidRPr="00CB2C45">
        <w:t xml:space="preserve">to females, </w:t>
      </w:r>
      <w:r w:rsidR="00136572" w:rsidRPr="00CB2C45">
        <w:t>infor</w:t>
      </w:r>
      <w:r w:rsidR="00BB5857" w:rsidRPr="00CB2C45">
        <w:t xml:space="preserve">ming </w:t>
      </w:r>
      <w:r w:rsidR="0097544C" w:rsidRPr="00CB2C45">
        <w:t>us</w:t>
      </w:r>
      <w:r w:rsidR="0037296D" w:rsidRPr="00CB2C45">
        <w:t xml:space="preserve"> </w:t>
      </w:r>
      <w:r w:rsidR="00BB5857" w:rsidRPr="00CB2C45">
        <w:t xml:space="preserve">which genes are associated with horn growth. </w:t>
      </w:r>
    </w:p>
    <w:p w14:paraId="388AB164" w14:textId="744AC837" w:rsidR="00061B7D" w:rsidRPr="00CB2C45" w:rsidRDefault="00543B86" w:rsidP="00C03520">
      <w:r>
        <w:tab/>
      </w:r>
      <w:r w:rsidR="005D5849" w:rsidRPr="00CB2C45">
        <w:t xml:space="preserve">To determine differentially expressed genes, </w:t>
      </w:r>
      <w:r w:rsidR="009B2C7D" w:rsidRPr="00CB2C45">
        <w:t xml:space="preserve">RNA was </w:t>
      </w:r>
      <w:r w:rsidR="00E1664B" w:rsidRPr="00CB2C45">
        <w:t xml:space="preserve">extracted from 18 adult beetles (9 male and 9 female) </w:t>
      </w:r>
      <w:r w:rsidR="00686EC9" w:rsidRPr="00CB2C45">
        <w:t>and a common RNA-</w:t>
      </w:r>
      <w:r w:rsidR="00554504" w:rsidRPr="00CB2C45">
        <w:t xml:space="preserve">seq pipeline was used </w:t>
      </w:r>
      <w:r w:rsidR="002150A2" w:rsidRPr="00CB2C45">
        <w:t>to analyze</w:t>
      </w:r>
      <w:r w:rsidR="005D5849" w:rsidRPr="00CB2C45">
        <w:t xml:space="preserve"> </w:t>
      </w:r>
      <w:r w:rsidR="00D857AC" w:rsidRPr="00CB2C45">
        <w:t xml:space="preserve">gene expression. </w:t>
      </w:r>
      <w:r w:rsidR="00686EC9" w:rsidRPr="00CB2C45">
        <w:t xml:space="preserve">Illumina reads from all </w:t>
      </w:r>
      <w:r w:rsidR="00FA611F" w:rsidRPr="00CB2C45">
        <w:t>18 individuals were trimmed of poor</w:t>
      </w:r>
      <w:r w:rsidR="00686EC9" w:rsidRPr="00CB2C45">
        <w:t xml:space="preserve">-quality </w:t>
      </w:r>
      <w:r w:rsidR="00FA611F" w:rsidRPr="00CB2C45">
        <w:t>ba</w:t>
      </w:r>
      <w:r w:rsidR="00686EC9" w:rsidRPr="00CB2C45">
        <w:t>s</w:t>
      </w:r>
      <w:r w:rsidR="00FA611F" w:rsidRPr="00CB2C45">
        <w:t>e pairs</w:t>
      </w:r>
      <w:r w:rsidR="00686EC9" w:rsidRPr="00CB2C45">
        <w:t xml:space="preserve"> using Trimmomatic</w:t>
      </w:r>
      <w:r w:rsidR="00927E2E">
        <w:t>-0.33</w:t>
      </w:r>
      <w:r w:rsidR="00C43967" w:rsidRPr="00CB2C45">
        <w:t xml:space="preserve">. </w:t>
      </w:r>
      <w:r w:rsidR="004F5FBD" w:rsidRPr="00CB2C45">
        <w:t xml:space="preserve">The </w:t>
      </w:r>
      <w:r w:rsidR="00927E2E">
        <w:t>cleaned reads</w:t>
      </w:r>
      <w:r w:rsidR="00927E2E" w:rsidRPr="00CB2C45">
        <w:t xml:space="preserve"> </w:t>
      </w:r>
      <w:r w:rsidR="00686EC9" w:rsidRPr="00CB2C45">
        <w:t xml:space="preserve">were </w:t>
      </w:r>
      <w:r w:rsidR="00C43967" w:rsidRPr="00CB2C45">
        <w:t xml:space="preserve">then </w:t>
      </w:r>
      <w:r w:rsidR="00686EC9" w:rsidRPr="00CB2C45">
        <w:t>mapped to a genome-derived transcriptome</w:t>
      </w:r>
      <w:r w:rsidR="00944745" w:rsidRPr="00CB2C45">
        <w:t xml:space="preserve"> using the BWA </w:t>
      </w:r>
      <w:r w:rsidR="00FD471A" w:rsidRPr="00CB2C45">
        <w:t>program, which</w:t>
      </w:r>
      <w:r w:rsidR="00944745" w:rsidRPr="00CB2C45">
        <w:t xml:space="preserve"> </w:t>
      </w:r>
      <w:r w:rsidR="00FD471A" w:rsidRPr="00CB2C45">
        <w:t>created</w:t>
      </w:r>
      <w:r w:rsidR="00944745" w:rsidRPr="00CB2C45">
        <w:t xml:space="preserve"> a sequence alignment map (.sam) file</w:t>
      </w:r>
      <w:r w:rsidR="00927E2E">
        <w:t xml:space="preserve">. </w:t>
      </w:r>
      <w:r w:rsidR="00927E2E" w:rsidRPr="00CB2C45">
        <w:t>A python script was</w:t>
      </w:r>
      <w:r w:rsidR="00927E2E">
        <w:t xml:space="preserve"> then</w:t>
      </w:r>
      <w:r w:rsidR="00927E2E" w:rsidRPr="00CB2C45">
        <w:t xml:space="preserve"> used to pull out counts</w:t>
      </w:r>
      <w:r w:rsidR="00927E2E">
        <w:t xml:space="preserve"> of reads</w:t>
      </w:r>
      <w:r w:rsidR="00927E2E" w:rsidRPr="00CB2C45">
        <w:t xml:space="preserve"> with a Phred score of</w:t>
      </w:r>
      <w:r w:rsidR="00927E2E">
        <w:t xml:space="preserve"> </w:t>
      </w:r>
      <w:r w:rsidR="00927E2E" w:rsidRPr="00F136F6">
        <w:rPr>
          <w:u w:val="single"/>
        </w:rPr>
        <w:t>&gt;</w:t>
      </w:r>
      <w:r w:rsidR="00927E2E" w:rsidRPr="00CB2C45">
        <w:t xml:space="preserve"> 35</w:t>
      </w:r>
      <w:r w:rsidR="00927E2E">
        <w:t>, generating a text file that we</w:t>
      </w:r>
      <w:r w:rsidR="00FD471A" w:rsidRPr="00CB2C45">
        <w:t xml:space="preserve"> used to predict the </w:t>
      </w:r>
      <w:r w:rsidR="00927E2E">
        <w:t>genes</w:t>
      </w:r>
      <w:r w:rsidR="00927E2E" w:rsidRPr="00CB2C45">
        <w:t xml:space="preserve"> </w:t>
      </w:r>
      <w:r w:rsidR="00FD471A" w:rsidRPr="00CB2C45">
        <w:t>that would be differentially expressed</w:t>
      </w:r>
      <w:r w:rsidR="00686EC9" w:rsidRPr="00CB2C45">
        <w:t xml:space="preserve">. </w:t>
      </w:r>
      <w:r w:rsidR="00927E2E">
        <w:t>D</w:t>
      </w:r>
      <w:r w:rsidR="00046B53" w:rsidRPr="00CB2C45">
        <w:t>iffere</w:t>
      </w:r>
      <w:r w:rsidR="00E7048B" w:rsidRPr="00CB2C45">
        <w:t xml:space="preserve">ntial expression </w:t>
      </w:r>
      <w:r w:rsidR="008A78A1" w:rsidRPr="00CB2C45">
        <w:t>analyses and graphical representations of the variation among gene expression in males and fe</w:t>
      </w:r>
      <w:r w:rsidR="00FD471A" w:rsidRPr="00CB2C45">
        <w:t>males</w:t>
      </w:r>
      <w:r w:rsidR="00927E2E">
        <w:t xml:space="preserve"> were</w:t>
      </w:r>
      <w:r w:rsidR="00E7048B" w:rsidRPr="00CB2C45">
        <w:t xml:space="preserve"> performed in </w:t>
      </w:r>
      <w:r w:rsidR="005012CA" w:rsidRPr="00CB2C45">
        <w:t xml:space="preserve">the </w:t>
      </w:r>
      <w:r w:rsidR="008A78A1" w:rsidRPr="00CB2C45">
        <w:t xml:space="preserve">program edgeR. </w:t>
      </w:r>
      <w:r w:rsidR="00313E0F" w:rsidRPr="00CB2C45">
        <w:t xml:space="preserve">The next step in determining </w:t>
      </w:r>
      <w:r w:rsidR="00E80A8A" w:rsidRPr="00CB2C45">
        <w:t>d</w:t>
      </w:r>
      <w:r w:rsidR="00945003" w:rsidRPr="00CB2C45">
        <w:t>ifferentially expressed genes will</w:t>
      </w:r>
      <w:r w:rsidR="001D33B0" w:rsidRPr="00CB2C45">
        <w:t xml:space="preserve"> be </w:t>
      </w:r>
      <w:r w:rsidR="00106CC0" w:rsidRPr="00CB2C45">
        <w:t>to either</w:t>
      </w:r>
      <w:r w:rsidR="00BE1713" w:rsidRPr="00CB2C45">
        <w:t xml:space="preserve"> annotat</w:t>
      </w:r>
      <w:r w:rsidR="00106CC0" w:rsidRPr="00CB2C45">
        <w:t>e</w:t>
      </w:r>
      <w:r w:rsidR="00BE1713" w:rsidRPr="00CB2C45">
        <w:t xml:space="preserve"> the transcriptome or </w:t>
      </w:r>
      <w:r w:rsidR="00106CC0" w:rsidRPr="00CB2C45">
        <w:t>to</w:t>
      </w:r>
      <w:r w:rsidR="00945003" w:rsidRPr="00CB2C45">
        <w:t xml:space="preserve"> </w:t>
      </w:r>
      <w:r w:rsidR="00106CC0" w:rsidRPr="00CB2C45">
        <w:t>select</w:t>
      </w:r>
      <w:r w:rsidR="00945003" w:rsidRPr="00CB2C45">
        <w:t xml:space="preserve"> </w:t>
      </w:r>
      <w:r w:rsidR="00700FE2" w:rsidRPr="00CB2C45">
        <w:t xml:space="preserve">expressed genes of interest, </w:t>
      </w:r>
      <w:r w:rsidR="00927E2E">
        <w:t>BLAST</w:t>
      </w:r>
      <w:r w:rsidR="00927E2E" w:rsidRPr="00CB2C45">
        <w:t xml:space="preserve"> </w:t>
      </w:r>
      <w:r w:rsidR="00BE1713" w:rsidRPr="00CB2C45">
        <w:t>them</w:t>
      </w:r>
      <w:r w:rsidR="00700FE2" w:rsidRPr="00CB2C45">
        <w:t>, and determine their function</w:t>
      </w:r>
      <w:r w:rsidR="00BE1713" w:rsidRPr="00CB2C45">
        <w:t xml:space="preserve">. </w:t>
      </w:r>
    </w:p>
    <w:p w14:paraId="4C74242C" w14:textId="4A146E8B" w:rsidR="00750D99" w:rsidRDefault="00543B86" w:rsidP="00C03520">
      <w:r>
        <w:tab/>
      </w:r>
      <w:r w:rsidR="00C03519" w:rsidRPr="00CB2C45">
        <w:t xml:space="preserve">Our results, thus far, </w:t>
      </w:r>
      <w:r w:rsidR="0045332C" w:rsidRPr="00CB2C45">
        <w:t>suggest a strong distinction between ge</w:t>
      </w:r>
      <w:r w:rsidR="005D0DC9" w:rsidRPr="00CB2C45">
        <w:t>nes that are expressed in males</w:t>
      </w:r>
      <w:r w:rsidR="0045332C" w:rsidRPr="00CB2C45">
        <w:t xml:space="preserve"> relative to females. </w:t>
      </w:r>
      <w:r w:rsidR="00EF71C3" w:rsidRPr="00CB2C45">
        <w:t xml:space="preserve">The plot of individual </w:t>
      </w:r>
      <w:r w:rsidR="00C5219C">
        <w:t>samples</w:t>
      </w:r>
      <w:r w:rsidR="00EF71C3" w:rsidRPr="00CB2C45">
        <w:t xml:space="preserve"> along</w:t>
      </w:r>
      <w:r w:rsidR="00607B35" w:rsidRPr="00CB2C45">
        <w:t xml:space="preserve"> the two BCV</w:t>
      </w:r>
      <w:r w:rsidR="00EF71C3" w:rsidRPr="00CB2C45">
        <w:t xml:space="preserve"> </w:t>
      </w:r>
      <w:r w:rsidR="00607B35" w:rsidRPr="00CB2C45">
        <w:t xml:space="preserve">distances </w:t>
      </w:r>
      <w:r w:rsidR="00833FB6">
        <w:t xml:space="preserve">across </w:t>
      </w:r>
      <w:r w:rsidR="00DE11A3">
        <w:t xml:space="preserve">a multidimensional scaling </w:t>
      </w:r>
      <w:r w:rsidR="00607B35" w:rsidRPr="00CB2C45">
        <w:t xml:space="preserve">shows a clear clustering of the two sexes (Fig. 1).  </w:t>
      </w:r>
      <w:r w:rsidR="00634F92" w:rsidRPr="00CB2C45">
        <w:t>In Figure 1, a</w:t>
      </w:r>
      <w:r w:rsidR="00750D99" w:rsidRPr="00CB2C45">
        <w:t>xis one (BCV distance 1)</w:t>
      </w:r>
      <w:r w:rsidR="00A764BB" w:rsidRPr="00CB2C45">
        <w:t>, which explains most of the variation</w:t>
      </w:r>
      <w:r w:rsidR="00F51099" w:rsidRPr="00CB2C45">
        <w:t xml:space="preserve"> in DGE</w:t>
      </w:r>
      <w:r w:rsidR="00A764BB" w:rsidRPr="00CB2C45">
        <w:t xml:space="preserve">, </w:t>
      </w:r>
      <w:r w:rsidR="00750D99" w:rsidRPr="00CB2C45">
        <w:t>accounts for the variation observed across males and females, while axis two (BCV distance 2) accounts for th</w:t>
      </w:r>
      <w:r w:rsidR="00EF71C3" w:rsidRPr="00CB2C45">
        <w:t>e variation across populations</w:t>
      </w:r>
      <w:r w:rsidR="00634F92" w:rsidRPr="00CB2C45">
        <w:t>.</w:t>
      </w:r>
      <w:r w:rsidR="00634F92">
        <w:t xml:space="preserve"> </w:t>
      </w:r>
    </w:p>
    <w:p w14:paraId="023936B7" w14:textId="7DFE9307" w:rsidR="00D5128D" w:rsidRDefault="00543B86" w:rsidP="00C03520">
      <w:r>
        <w:tab/>
      </w:r>
      <w:r w:rsidR="00D5128D">
        <w:t xml:space="preserve">Using a GLM analysis, the total number of expressed genes was identified for males relative to females. </w:t>
      </w:r>
      <w:r w:rsidR="00334034">
        <w:t xml:space="preserve">Significantly and non-significantly expressed genes were plotted </w:t>
      </w:r>
      <w:r w:rsidR="00D46869">
        <w:t xml:space="preserve">in terms of </w:t>
      </w:r>
      <w:r w:rsidR="00C5219C">
        <w:t>log</w:t>
      </w:r>
      <w:r w:rsidR="00C5219C">
        <w:rPr>
          <w:vertAlign w:val="subscript"/>
        </w:rPr>
        <w:t>2</w:t>
      </w:r>
      <w:r w:rsidR="00D46869">
        <w:t>fold change</w:t>
      </w:r>
      <w:r w:rsidR="00C43E4E">
        <w:t xml:space="preserve"> (Fig.2)</w:t>
      </w:r>
      <w:r w:rsidR="00D46869">
        <w:t>. Of the total 3,87</w:t>
      </w:r>
      <w:r w:rsidR="00D5128D">
        <w:t xml:space="preserve">9 expressed genes, 40 were significantly down-regulated in males (1.03%) and 778 were significantly up-regulated (20.06%) </w:t>
      </w:r>
      <w:r w:rsidR="00F746BA">
        <w:t>(Table 1)</w:t>
      </w:r>
      <w:r w:rsidR="009B58B2">
        <w:t xml:space="preserve">. </w:t>
      </w:r>
      <w:r w:rsidR="00D5128D">
        <w:t xml:space="preserve">The down-regulated genes could be associated with reproduction, while the up-regulated genes could be associated with growth, horn growth, or nutrition. One highly expressed gene was identified as OTAU000774-RA. An initial </w:t>
      </w:r>
      <w:r w:rsidR="00163238">
        <w:t xml:space="preserve">BLAST </w:t>
      </w:r>
      <w:r w:rsidR="00D5128D">
        <w:t>of this gene through NCBI, however, was unsuccessful as it matched to a tapeworm</w:t>
      </w:r>
      <w:r w:rsidR="0018148D">
        <w:t xml:space="preserve"> (</w:t>
      </w:r>
      <w:r w:rsidR="0018148D" w:rsidRPr="00A4762D">
        <w:rPr>
          <w:i/>
        </w:rPr>
        <w:t>Schistocephalus solidus</w:t>
      </w:r>
      <w:r w:rsidR="0018148D">
        <w:rPr>
          <w:i/>
        </w:rPr>
        <w:t>)</w:t>
      </w:r>
      <w:r w:rsidR="00D5128D">
        <w:t xml:space="preserve"> and not to a beetle. </w:t>
      </w:r>
    </w:p>
    <w:p w14:paraId="667E816B" w14:textId="79513C62" w:rsidR="007930B0" w:rsidRDefault="00543B86" w:rsidP="008828BD">
      <w:r>
        <w:tab/>
      </w:r>
      <w:r w:rsidR="00873D97">
        <w:t>For this study, the total number of expressed genes was identified relative to male and female beetles; however, these genes</w:t>
      </w:r>
      <w:r w:rsidR="00FE7DAC">
        <w:t xml:space="preserve"> and their functions</w:t>
      </w:r>
      <w:r w:rsidR="00873D97">
        <w:t xml:space="preserve"> have </w:t>
      </w:r>
      <w:r w:rsidR="00C43E4E">
        <w:t xml:space="preserve">yet to be identified. We expect that through annotation and/or </w:t>
      </w:r>
      <w:r w:rsidR="00163238">
        <w:t>BLASTing</w:t>
      </w:r>
      <w:r w:rsidR="00C43E4E">
        <w:t xml:space="preserve">, some of the </w:t>
      </w:r>
      <w:r w:rsidR="00C43E4E">
        <w:lastRenderedPageBreak/>
        <w:t xml:space="preserve">significantly up-regulated genes will </w:t>
      </w:r>
      <w:r w:rsidR="00503EC4">
        <w:t xml:space="preserve">indeed be associated with horn growth. </w:t>
      </w:r>
      <w:r w:rsidR="0030110A">
        <w:t xml:space="preserve">Although we did not examine </w:t>
      </w:r>
      <w:r w:rsidR="007930B0">
        <w:t>DGE across populations</w:t>
      </w:r>
      <w:r w:rsidR="00163238">
        <w:t xml:space="preserve"> yet</w:t>
      </w:r>
      <w:r w:rsidR="007930B0">
        <w:t>, it could be interesting to see which genes are differentially expressed among males, as the horn-to-body size ratio differs greatly across continents. Examining environmental factors that could further influence gene expression relative to the horn-to-body size ratio</w:t>
      </w:r>
      <w:r w:rsidR="00C03520">
        <w:t xml:space="preserve"> could help us better </w:t>
      </w:r>
      <w:r w:rsidR="004237DB">
        <w:t>understand these differences. A previous study examined how manipulating the diet of this species of beetle affect</w:t>
      </w:r>
      <w:r w:rsidR="00CB2C45">
        <w:t>ed</w:t>
      </w:r>
      <w:r w:rsidR="004237DB">
        <w:t xml:space="preserve"> growth and horn size (</w:t>
      </w:r>
      <w:r w:rsidR="00A41A02">
        <w:t>Moczek 1998</w:t>
      </w:r>
      <w:r w:rsidR="004237DB">
        <w:t xml:space="preserve">). Perhaps a similar experimental set-up </w:t>
      </w:r>
      <w:r w:rsidR="00CB2C45">
        <w:t>could manipulate temperature to see if this too could affec</w:t>
      </w:r>
      <w:r w:rsidR="00FE7DAC">
        <w:t>t gene expression</w:t>
      </w:r>
      <w:r w:rsidR="00CB2C45">
        <w:t xml:space="preserve"> relative to body and horn growth. </w:t>
      </w:r>
    </w:p>
    <w:p w14:paraId="3A5ECF73" w14:textId="2F30BD8F" w:rsidR="00ED245A" w:rsidRDefault="00ED245A" w:rsidP="008828BD"/>
    <w:p w14:paraId="51D24EC8" w14:textId="2EB0094F" w:rsidR="00ED245A" w:rsidRPr="00ED245A" w:rsidRDefault="00ED245A" w:rsidP="008828BD">
      <w:r>
        <w:rPr>
          <w:noProof/>
        </w:rPr>
        <w:drawing>
          <wp:anchor distT="0" distB="0" distL="114300" distR="114300" simplePos="0" relativeHeight="251657214" behindDoc="0" locked="0" layoutInCell="1" allowOverlap="1" wp14:anchorId="2DE2E4E9" wp14:editId="6FF944A0">
            <wp:simplePos x="0" y="0"/>
            <wp:positionH relativeFrom="column">
              <wp:posOffset>2743200</wp:posOffset>
            </wp:positionH>
            <wp:positionV relativeFrom="paragraph">
              <wp:posOffset>563880</wp:posOffset>
            </wp:positionV>
            <wp:extent cx="3543300" cy="2628900"/>
            <wp:effectExtent l="0" t="0" r="12700" b="12700"/>
            <wp:wrapThrough wrapText="bothSides">
              <wp:wrapPolygon edited="0">
                <wp:start x="0" y="0"/>
                <wp:lineTo x="0" y="21496"/>
                <wp:lineTo x="21523" y="21496"/>
                <wp:lineTo x="21523" y="0"/>
                <wp:lineTo x="0" y="0"/>
              </wp:wrapPolygon>
            </wp:wrapThrough>
            <wp:docPr id="3" name="Picture 3" descr="Macintosh HD:Users:lockwoodlab:Desktop:Beetle_DGE:Plot_Smear_MF_G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kwoodlab:Desktop:Beetle_DGE:Plot_Smear_MF_GL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57D493AD" wp14:editId="3261E0C9">
            <wp:simplePos x="0" y="0"/>
            <wp:positionH relativeFrom="column">
              <wp:posOffset>-685800</wp:posOffset>
            </wp:positionH>
            <wp:positionV relativeFrom="paragraph">
              <wp:posOffset>549275</wp:posOffset>
            </wp:positionV>
            <wp:extent cx="3314700" cy="2791460"/>
            <wp:effectExtent l="0" t="0" r="12700" b="2540"/>
            <wp:wrapThrough wrapText="bothSides">
              <wp:wrapPolygon edited="0">
                <wp:start x="0" y="0"/>
                <wp:lineTo x="0" y="21423"/>
                <wp:lineTo x="21517" y="21423"/>
                <wp:lineTo x="21517" y="0"/>
                <wp:lineTo x="0" y="0"/>
              </wp:wrapPolygon>
            </wp:wrapThrough>
            <wp:docPr id="2" name="Picture 2" descr="Macintosh HD:Users:lockwoodlab:Desktop:Beetle_DGE:GOOD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kwoodlab:Desktop:Beetle_DGE:GOOD_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45A">
        <w:rPr>
          <w:b/>
        </w:rPr>
        <w:t xml:space="preserve">Literature cited: </w:t>
      </w:r>
      <w:r w:rsidRPr="00ED245A">
        <w:t xml:space="preserve">Moczek, A. P. 1998. Horn polyphenism in the beetle </w:t>
      </w:r>
      <w:r w:rsidRPr="00ED245A">
        <w:rPr>
          <w:i/>
        </w:rPr>
        <w:t>Onthophagus taurus</w:t>
      </w:r>
      <w:r>
        <w:t xml:space="preserve">: larval diet quality and plasticity in parental investment determine adult body size and male horn morphology. </w:t>
      </w:r>
      <w:r w:rsidRPr="00ED245A">
        <w:rPr>
          <w:i/>
        </w:rPr>
        <w:t>Behav. Ecol</w:t>
      </w:r>
      <w:r>
        <w:t xml:space="preserve">. </w:t>
      </w:r>
      <w:r w:rsidRPr="00ED245A">
        <w:rPr>
          <w:b/>
        </w:rPr>
        <w:t>9</w:t>
      </w:r>
      <w:r>
        <w:t xml:space="preserve">: 636-641. </w:t>
      </w:r>
    </w:p>
    <w:p w14:paraId="62493056" w14:textId="50712DAE" w:rsidR="00ED245A" w:rsidRPr="00ED245A" w:rsidRDefault="00ED245A" w:rsidP="008828B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251B4" wp14:editId="7CEC4042">
                <wp:simplePos x="0" y="0"/>
                <wp:positionH relativeFrom="column">
                  <wp:posOffset>-2958465</wp:posOffset>
                </wp:positionH>
                <wp:positionV relativeFrom="paragraph">
                  <wp:posOffset>1177925</wp:posOffset>
                </wp:positionV>
                <wp:extent cx="5455920" cy="269875"/>
                <wp:effectExtent l="0" t="0" r="0" b="9525"/>
                <wp:wrapTight wrapText="bothSides">
                  <wp:wrapPolygon edited="0">
                    <wp:start x="101" y="0"/>
                    <wp:lineTo x="101" y="20329"/>
                    <wp:lineTo x="21419" y="20329"/>
                    <wp:lineTo x="21419" y="0"/>
                    <wp:lineTo x="101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22923B" w14:textId="77777777" w:rsidR="00381791" w:rsidRPr="00BD0021" w:rsidRDefault="00381791" w:rsidP="00381791">
                            <w:pPr>
                              <w:ind w:left="-450" w:firstLine="450"/>
                              <w:rPr>
                                <w:b/>
                              </w:rPr>
                            </w:pPr>
                            <w:r w:rsidRPr="0077641D">
                              <w:rPr>
                                <w:b/>
                              </w:rPr>
                              <w:t>Table 1</w:t>
                            </w:r>
                            <w:r>
                              <w:t xml:space="preserve">| Differentially expressed genes in male beetles relative to female beetles.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232.9pt;margin-top:92.75pt;width:429.6pt;height:21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" filled="f" stroked="f">
                <v:textbox style="mso-fit-shape-to-text:t">
                  <w:txbxContent>
                    <w:p w14:paraId="0722923B" w14:textId="77777777" w:rsidR="00381791" w:rsidRPr="00BD0021" w:rsidRDefault="00381791" w:rsidP="00381791">
                      <w:pPr>
                        <w:ind w:left="-450" w:firstLine="450"/>
                        <w:rPr>
                          <w:b/>
                        </w:rPr>
                      </w:pPr>
                      <w:r w:rsidRPr="0077641D">
                        <w:rPr>
                          <w:b/>
                        </w:rPr>
                        <w:t>Table 1</w:t>
                      </w:r>
                      <w:r>
                        <w:t xml:space="preserve">| Differentially expressed genes in male beetles relative to female beetles.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3CF32" wp14:editId="7D8E142E">
                <wp:simplePos x="0" y="0"/>
                <wp:positionH relativeFrom="column">
                  <wp:posOffset>-3187065</wp:posOffset>
                </wp:positionH>
                <wp:positionV relativeFrom="paragraph">
                  <wp:posOffset>-152400</wp:posOffset>
                </wp:positionV>
                <wp:extent cx="32004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D8640" w14:textId="77777777" w:rsidR="00381791" w:rsidRDefault="00381791" w:rsidP="00381791"/>
                          <w:p w14:paraId="53E41C2A" w14:textId="77777777" w:rsidR="00381791" w:rsidRDefault="00381791" w:rsidP="00381791">
                            <w:r w:rsidRPr="00B97FE3">
                              <w:rPr>
                                <w:b/>
                              </w:rPr>
                              <w:t>Fig. 1</w:t>
                            </w:r>
                            <w:r>
                              <w:rPr>
                                <w:b/>
                              </w:rPr>
                              <w:t>|</w:t>
                            </w:r>
                            <w:r w:rsidRPr="003E62FE">
                              <w:t>Variation in DGE</w:t>
                            </w:r>
                            <w:r>
                              <w:t xml:space="preserve"> across male and female beetles through a BCV analysis. Black characters symbolize females (N=9) and red characters symbolize males (N=9).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250.9pt;margin-top:-11.95pt;width:252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" filled="f" stroked="f">
                <v:textbox>
                  <w:txbxContent>
                    <w:p w14:paraId="5A0D8640" w14:textId="77777777" w:rsidR="00381791" w:rsidRDefault="00381791" w:rsidP="00381791"/>
                    <w:p w14:paraId="53E41C2A" w14:textId="77777777" w:rsidR="00381791" w:rsidRDefault="00381791" w:rsidP="00381791">
                      <w:r w:rsidRPr="00B97FE3">
                        <w:rPr>
                          <w:b/>
                        </w:rPr>
                        <w:t>Fig. 1</w:t>
                      </w:r>
                      <w:r>
                        <w:rPr>
                          <w:b/>
                        </w:rPr>
                        <w:t>|</w:t>
                      </w:r>
                      <w:r w:rsidRPr="003E62FE">
                        <w:t>Variation in DGE</w:t>
                      </w:r>
                      <w:r>
                        <w:t xml:space="preserve"> across male and female beetles through a BCV analysis. Black characters symbolize females (N=9) and red characters symbolize males (N=9).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9C57F" wp14:editId="161A75F6">
                <wp:simplePos x="0" y="0"/>
                <wp:positionH relativeFrom="column">
                  <wp:posOffset>356235</wp:posOffset>
                </wp:positionH>
                <wp:positionV relativeFrom="paragraph">
                  <wp:posOffset>-38100</wp:posOffset>
                </wp:positionV>
                <wp:extent cx="3086100" cy="1167130"/>
                <wp:effectExtent l="0" t="0" r="0" b="127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4905" w14:textId="77777777" w:rsidR="00381791" w:rsidRPr="00392F88" w:rsidRDefault="00381791" w:rsidP="00381791">
                            <w:r w:rsidRPr="00FE7DAC">
                              <w:rPr>
                                <w:b/>
                              </w:rPr>
                              <w:t xml:space="preserve">Fig. 2| </w:t>
                            </w:r>
                            <w:r>
                              <w:t>Expressed genes found in male beetles relative to female beetles in terms of log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fold change. Red points indicate genes that are significantly expressed. Black points indicate genes that are not significantly expressed.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8.05pt;margin-top:-2.95pt;width:243pt;height:91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" filled="f" stroked="f">
                <v:textbox>
                  <w:txbxContent>
                    <w:p w14:paraId="26A74905" w14:textId="77777777" w:rsidR="00381791" w:rsidRPr="00392F88" w:rsidRDefault="00381791" w:rsidP="00381791">
                      <w:r w:rsidRPr="00FE7DAC">
                        <w:rPr>
                          <w:b/>
                        </w:rPr>
                        <w:t xml:space="preserve">Fig. 2| </w:t>
                      </w:r>
                      <w:r>
                        <w:t>Expressed genes found in male beetles relative to female beetles in terms of log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fold change. Red points indicate genes that are significantly expressed. Black points indicate genes that are not significantly expressed.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D6730" w14:textId="09CE05CF" w:rsidR="007930B0" w:rsidRDefault="007930B0" w:rsidP="008828BD"/>
    <w:tbl>
      <w:tblPr>
        <w:tblStyle w:val="TableGrid"/>
        <w:tblpPr w:leftFromText="180" w:rightFromText="180" w:vertAnchor="page" w:horzAnchor="page" w:tblpX="1549" w:tblpY="12061"/>
        <w:tblW w:w="8856" w:type="dxa"/>
        <w:tblLook w:val="04A0" w:firstRow="1" w:lastRow="0" w:firstColumn="1" w:lastColumn="0" w:noHBand="0" w:noVBand="1"/>
      </w:tblPr>
      <w:tblGrid>
        <w:gridCol w:w="1351"/>
        <w:gridCol w:w="1898"/>
        <w:gridCol w:w="1899"/>
        <w:gridCol w:w="1899"/>
        <w:gridCol w:w="1809"/>
      </w:tblGrid>
      <w:tr w:rsidR="005A7412" w14:paraId="740D5A41" w14:textId="77777777" w:rsidTr="005A7412">
        <w:tc>
          <w:tcPr>
            <w:tcW w:w="1351" w:type="dxa"/>
          </w:tcPr>
          <w:p w14:paraId="34627638" w14:textId="77777777" w:rsidR="005A7412" w:rsidRDefault="005A7412" w:rsidP="005A7412"/>
        </w:tc>
        <w:tc>
          <w:tcPr>
            <w:tcW w:w="1898" w:type="dxa"/>
          </w:tcPr>
          <w:p w14:paraId="405E0ED9" w14:textId="77777777" w:rsidR="005A7412" w:rsidRPr="006B29BC" w:rsidRDefault="005A7412" w:rsidP="005A7412">
            <w:pPr>
              <w:rPr>
                <w:b/>
              </w:rPr>
            </w:pPr>
            <w:r w:rsidRPr="006B29BC">
              <w:rPr>
                <w:b/>
              </w:rPr>
              <w:t>Significantly Down-Regulated Genes</w:t>
            </w:r>
          </w:p>
        </w:tc>
        <w:tc>
          <w:tcPr>
            <w:tcW w:w="1899" w:type="dxa"/>
          </w:tcPr>
          <w:p w14:paraId="736C5FC3" w14:textId="77777777" w:rsidR="005A7412" w:rsidRPr="006B29BC" w:rsidRDefault="005A7412" w:rsidP="005A7412">
            <w:pPr>
              <w:rPr>
                <w:b/>
              </w:rPr>
            </w:pPr>
            <w:r w:rsidRPr="006B29BC">
              <w:rPr>
                <w:b/>
              </w:rPr>
              <w:t>Non-Significantly Expressed Genes</w:t>
            </w:r>
          </w:p>
        </w:tc>
        <w:tc>
          <w:tcPr>
            <w:tcW w:w="1899" w:type="dxa"/>
          </w:tcPr>
          <w:p w14:paraId="1FA2C03E" w14:textId="77777777" w:rsidR="005A7412" w:rsidRPr="006B29BC" w:rsidRDefault="005A7412" w:rsidP="005A7412">
            <w:pPr>
              <w:rPr>
                <w:b/>
              </w:rPr>
            </w:pPr>
            <w:r w:rsidRPr="006B29BC">
              <w:rPr>
                <w:b/>
              </w:rPr>
              <w:t>Significantly Up-Regulated Genes</w:t>
            </w:r>
          </w:p>
        </w:tc>
        <w:tc>
          <w:tcPr>
            <w:tcW w:w="1809" w:type="dxa"/>
          </w:tcPr>
          <w:p w14:paraId="41B5BC80" w14:textId="77777777" w:rsidR="005A7412" w:rsidRPr="006B29BC" w:rsidRDefault="005A7412" w:rsidP="005A7412">
            <w:pPr>
              <w:rPr>
                <w:b/>
              </w:rPr>
            </w:pPr>
            <w:r w:rsidRPr="006B29BC">
              <w:rPr>
                <w:b/>
              </w:rPr>
              <w:t>Total Number of Expressed Genes</w:t>
            </w:r>
          </w:p>
        </w:tc>
      </w:tr>
      <w:tr w:rsidR="005A7412" w14:paraId="7CE2184F" w14:textId="77777777" w:rsidTr="005A7412">
        <w:tc>
          <w:tcPr>
            <w:tcW w:w="1351" w:type="dxa"/>
          </w:tcPr>
          <w:p w14:paraId="3F4C7510" w14:textId="77777777" w:rsidR="005A7412" w:rsidRPr="006B29BC" w:rsidRDefault="005A7412" w:rsidP="005A7412">
            <w:pPr>
              <w:rPr>
                <w:b/>
              </w:rPr>
            </w:pPr>
            <w:r w:rsidRPr="006B29BC">
              <w:rPr>
                <w:b/>
              </w:rPr>
              <w:t>Number of Genes</w:t>
            </w:r>
          </w:p>
        </w:tc>
        <w:tc>
          <w:tcPr>
            <w:tcW w:w="1898" w:type="dxa"/>
          </w:tcPr>
          <w:p w14:paraId="7333AD9E" w14:textId="77777777" w:rsidR="005A7412" w:rsidRDefault="005A7412" w:rsidP="005A7412">
            <w:r>
              <w:t>40</w:t>
            </w:r>
          </w:p>
        </w:tc>
        <w:tc>
          <w:tcPr>
            <w:tcW w:w="1899" w:type="dxa"/>
          </w:tcPr>
          <w:p w14:paraId="20987931" w14:textId="77777777" w:rsidR="005A7412" w:rsidRDefault="005A7412" w:rsidP="005A7412">
            <w:r>
              <w:t>3061</w:t>
            </w:r>
          </w:p>
        </w:tc>
        <w:tc>
          <w:tcPr>
            <w:tcW w:w="1899" w:type="dxa"/>
          </w:tcPr>
          <w:p w14:paraId="146E0AC5" w14:textId="77777777" w:rsidR="005A7412" w:rsidRDefault="005A7412" w:rsidP="005A7412">
            <w:r>
              <w:t>778</w:t>
            </w:r>
          </w:p>
        </w:tc>
        <w:tc>
          <w:tcPr>
            <w:tcW w:w="1809" w:type="dxa"/>
          </w:tcPr>
          <w:p w14:paraId="5C9FE35C" w14:textId="77777777" w:rsidR="005A7412" w:rsidRDefault="005A7412" w:rsidP="005A7412">
            <w:r>
              <w:t>3879</w:t>
            </w:r>
          </w:p>
        </w:tc>
      </w:tr>
      <w:tr w:rsidR="005A7412" w14:paraId="1BF184C6" w14:textId="77777777" w:rsidTr="005A7412">
        <w:tc>
          <w:tcPr>
            <w:tcW w:w="1351" w:type="dxa"/>
          </w:tcPr>
          <w:p w14:paraId="08CB9161" w14:textId="77777777" w:rsidR="005A7412" w:rsidRPr="006B29BC" w:rsidRDefault="005A7412" w:rsidP="005A7412">
            <w:pPr>
              <w:rPr>
                <w:b/>
              </w:rPr>
            </w:pPr>
            <w:r w:rsidRPr="006B29BC">
              <w:rPr>
                <w:b/>
              </w:rPr>
              <w:t xml:space="preserve">Percent of Total </w:t>
            </w:r>
            <w:r>
              <w:rPr>
                <w:b/>
              </w:rPr>
              <w:t xml:space="preserve">EXP </w:t>
            </w:r>
            <w:r w:rsidRPr="006B29BC">
              <w:rPr>
                <w:b/>
              </w:rPr>
              <w:t>Genes</w:t>
            </w:r>
          </w:p>
        </w:tc>
        <w:tc>
          <w:tcPr>
            <w:tcW w:w="1898" w:type="dxa"/>
          </w:tcPr>
          <w:p w14:paraId="0494E153" w14:textId="77777777" w:rsidR="005A7412" w:rsidRDefault="005A7412" w:rsidP="005A7412">
            <w:r>
              <w:t xml:space="preserve">1.03% </w:t>
            </w:r>
          </w:p>
        </w:tc>
        <w:tc>
          <w:tcPr>
            <w:tcW w:w="1899" w:type="dxa"/>
          </w:tcPr>
          <w:p w14:paraId="5E94F1A3" w14:textId="77777777" w:rsidR="005A7412" w:rsidRDefault="005A7412" w:rsidP="005A7412">
            <w:r>
              <w:t xml:space="preserve">78.91% </w:t>
            </w:r>
          </w:p>
        </w:tc>
        <w:tc>
          <w:tcPr>
            <w:tcW w:w="1899" w:type="dxa"/>
          </w:tcPr>
          <w:p w14:paraId="1306D4CE" w14:textId="77777777" w:rsidR="005A7412" w:rsidRDefault="005A7412" w:rsidP="005A7412">
            <w:r>
              <w:t xml:space="preserve">20.06% </w:t>
            </w:r>
          </w:p>
        </w:tc>
        <w:tc>
          <w:tcPr>
            <w:tcW w:w="1809" w:type="dxa"/>
          </w:tcPr>
          <w:p w14:paraId="081EAD78" w14:textId="77777777" w:rsidR="005A7412" w:rsidRDefault="005A7412" w:rsidP="005A7412"/>
        </w:tc>
      </w:tr>
    </w:tbl>
    <w:p w14:paraId="7638AC8B" w14:textId="0660F3AF" w:rsidR="00334034" w:rsidRDefault="00334034" w:rsidP="00944617">
      <w:bookmarkStart w:id="0" w:name="_GoBack"/>
      <w:bookmarkEnd w:id="0"/>
    </w:p>
    <w:sectPr w:rsidR="00334034" w:rsidSect="004F49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B6"/>
    <w:rsid w:val="00000BD5"/>
    <w:rsid w:val="000063D8"/>
    <w:rsid w:val="0002357C"/>
    <w:rsid w:val="00046B53"/>
    <w:rsid w:val="00054762"/>
    <w:rsid w:val="00061B7D"/>
    <w:rsid w:val="000A084F"/>
    <w:rsid w:val="000C7131"/>
    <w:rsid w:val="000E09A6"/>
    <w:rsid w:val="000E4A08"/>
    <w:rsid w:val="00106CC0"/>
    <w:rsid w:val="00131806"/>
    <w:rsid w:val="00136572"/>
    <w:rsid w:val="001546BA"/>
    <w:rsid w:val="00163238"/>
    <w:rsid w:val="0018148D"/>
    <w:rsid w:val="00183DA3"/>
    <w:rsid w:val="001B612B"/>
    <w:rsid w:val="001C04B2"/>
    <w:rsid w:val="001C1422"/>
    <w:rsid w:val="001C30A4"/>
    <w:rsid w:val="001D33B0"/>
    <w:rsid w:val="001D4FF3"/>
    <w:rsid w:val="002150A2"/>
    <w:rsid w:val="0024196F"/>
    <w:rsid w:val="00275531"/>
    <w:rsid w:val="00291626"/>
    <w:rsid w:val="0030110A"/>
    <w:rsid w:val="00313E0F"/>
    <w:rsid w:val="003147DB"/>
    <w:rsid w:val="0032197A"/>
    <w:rsid w:val="00327936"/>
    <w:rsid w:val="00334034"/>
    <w:rsid w:val="0034373C"/>
    <w:rsid w:val="00360F57"/>
    <w:rsid w:val="00362976"/>
    <w:rsid w:val="0037296D"/>
    <w:rsid w:val="00381791"/>
    <w:rsid w:val="00392F88"/>
    <w:rsid w:val="003B6F7D"/>
    <w:rsid w:val="003B71A7"/>
    <w:rsid w:val="003D0366"/>
    <w:rsid w:val="003E62FE"/>
    <w:rsid w:val="004027EA"/>
    <w:rsid w:val="00403DE7"/>
    <w:rsid w:val="00406D30"/>
    <w:rsid w:val="004237DB"/>
    <w:rsid w:val="00430A98"/>
    <w:rsid w:val="00431FCE"/>
    <w:rsid w:val="00432CB3"/>
    <w:rsid w:val="00446EDB"/>
    <w:rsid w:val="0045268C"/>
    <w:rsid w:val="0045332C"/>
    <w:rsid w:val="0049588D"/>
    <w:rsid w:val="00497D2F"/>
    <w:rsid w:val="004B0666"/>
    <w:rsid w:val="004E070A"/>
    <w:rsid w:val="004E6CA9"/>
    <w:rsid w:val="004F49B8"/>
    <w:rsid w:val="004F5FBD"/>
    <w:rsid w:val="005012CA"/>
    <w:rsid w:val="00503EC4"/>
    <w:rsid w:val="00505A09"/>
    <w:rsid w:val="00512369"/>
    <w:rsid w:val="005422B4"/>
    <w:rsid w:val="00543B86"/>
    <w:rsid w:val="00554504"/>
    <w:rsid w:val="00571042"/>
    <w:rsid w:val="005723E8"/>
    <w:rsid w:val="00592A28"/>
    <w:rsid w:val="005A7412"/>
    <w:rsid w:val="005B1EF0"/>
    <w:rsid w:val="005D0DC9"/>
    <w:rsid w:val="005D5849"/>
    <w:rsid w:val="005E3D1D"/>
    <w:rsid w:val="005E7CBB"/>
    <w:rsid w:val="00607B35"/>
    <w:rsid w:val="0062678D"/>
    <w:rsid w:val="00634F92"/>
    <w:rsid w:val="006405E2"/>
    <w:rsid w:val="006450DC"/>
    <w:rsid w:val="00672B5B"/>
    <w:rsid w:val="00686EC9"/>
    <w:rsid w:val="006879C5"/>
    <w:rsid w:val="006B29BC"/>
    <w:rsid w:val="00700FE2"/>
    <w:rsid w:val="0070308C"/>
    <w:rsid w:val="007353F5"/>
    <w:rsid w:val="00744335"/>
    <w:rsid w:val="00750D99"/>
    <w:rsid w:val="00767BEF"/>
    <w:rsid w:val="0077641D"/>
    <w:rsid w:val="007930B0"/>
    <w:rsid w:val="007B7ED9"/>
    <w:rsid w:val="007E0536"/>
    <w:rsid w:val="007F101D"/>
    <w:rsid w:val="00825A9C"/>
    <w:rsid w:val="00833FB6"/>
    <w:rsid w:val="00845080"/>
    <w:rsid w:val="008519BD"/>
    <w:rsid w:val="00857000"/>
    <w:rsid w:val="00861200"/>
    <w:rsid w:val="00873D97"/>
    <w:rsid w:val="008828BD"/>
    <w:rsid w:val="008A78A1"/>
    <w:rsid w:val="008E42B1"/>
    <w:rsid w:val="008E548C"/>
    <w:rsid w:val="008E5740"/>
    <w:rsid w:val="0091474B"/>
    <w:rsid w:val="00927E2E"/>
    <w:rsid w:val="00932FC8"/>
    <w:rsid w:val="009376DF"/>
    <w:rsid w:val="009441F9"/>
    <w:rsid w:val="00944617"/>
    <w:rsid w:val="00944745"/>
    <w:rsid w:val="00945003"/>
    <w:rsid w:val="009456B6"/>
    <w:rsid w:val="0097544C"/>
    <w:rsid w:val="009B2C7D"/>
    <w:rsid w:val="009B58B2"/>
    <w:rsid w:val="009B61D9"/>
    <w:rsid w:val="009B7F30"/>
    <w:rsid w:val="00A14025"/>
    <w:rsid w:val="00A251A5"/>
    <w:rsid w:val="00A3485D"/>
    <w:rsid w:val="00A41A02"/>
    <w:rsid w:val="00A62D87"/>
    <w:rsid w:val="00A75165"/>
    <w:rsid w:val="00A764BB"/>
    <w:rsid w:val="00AE4695"/>
    <w:rsid w:val="00B032B7"/>
    <w:rsid w:val="00B34F33"/>
    <w:rsid w:val="00B46ED6"/>
    <w:rsid w:val="00B535E7"/>
    <w:rsid w:val="00B676CE"/>
    <w:rsid w:val="00B93265"/>
    <w:rsid w:val="00B97CF1"/>
    <w:rsid w:val="00B97FE3"/>
    <w:rsid w:val="00BA5B49"/>
    <w:rsid w:val="00BB5857"/>
    <w:rsid w:val="00BD484A"/>
    <w:rsid w:val="00BE1713"/>
    <w:rsid w:val="00BE1F00"/>
    <w:rsid w:val="00C026E5"/>
    <w:rsid w:val="00C03519"/>
    <w:rsid w:val="00C03520"/>
    <w:rsid w:val="00C168BE"/>
    <w:rsid w:val="00C43967"/>
    <w:rsid w:val="00C43E4E"/>
    <w:rsid w:val="00C5219C"/>
    <w:rsid w:val="00C80A11"/>
    <w:rsid w:val="00CA4A81"/>
    <w:rsid w:val="00CB14F0"/>
    <w:rsid w:val="00CB281A"/>
    <w:rsid w:val="00CB2C45"/>
    <w:rsid w:val="00CE6FD4"/>
    <w:rsid w:val="00CF39F2"/>
    <w:rsid w:val="00D46869"/>
    <w:rsid w:val="00D5128D"/>
    <w:rsid w:val="00D60C25"/>
    <w:rsid w:val="00D857AC"/>
    <w:rsid w:val="00D87090"/>
    <w:rsid w:val="00DC29A6"/>
    <w:rsid w:val="00DD23AC"/>
    <w:rsid w:val="00DE11A3"/>
    <w:rsid w:val="00DE1495"/>
    <w:rsid w:val="00E05CDF"/>
    <w:rsid w:val="00E1664B"/>
    <w:rsid w:val="00E37B72"/>
    <w:rsid w:val="00E575E0"/>
    <w:rsid w:val="00E7048B"/>
    <w:rsid w:val="00E7513F"/>
    <w:rsid w:val="00E80A8A"/>
    <w:rsid w:val="00ED245A"/>
    <w:rsid w:val="00EF71C3"/>
    <w:rsid w:val="00F276AF"/>
    <w:rsid w:val="00F51099"/>
    <w:rsid w:val="00F604AC"/>
    <w:rsid w:val="00F746BA"/>
    <w:rsid w:val="00F8626F"/>
    <w:rsid w:val="00FA611F"/>
    <w:rsid w:val="00FA65D7"/>
    <w:rsid w:val="00FB286E"/>
    <w:rsid w:val="00FB6703"/>
    <w:rsid w:val="00FD471A"/>
    <w:rsid w:val="00FE5C32"/>
    <w:rsid w:val="00FE6831"/>
    <w:rsid w:val="00FE7B45"/>
    <w:rsid w:val="00F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48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7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06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3D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D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D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DA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7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06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3D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D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D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D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664</Words>
  <Characters>3789</Characters>
  <Application>Microsoft Macintosh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Vermont</dc:creator>
  <cp:keywords/>
  <dc:description/>
  <cp:lastModifiedBy>University of Vermont</cp:lastModifiedBy>
  <cp:revision>190</cp:revision>
  <dcterms:created xsi:type="dcterms:W3CDTF">2015-10-14T00:57:00Z</dcterms:created>
  <dcterms:modified xsi:type="dcterms:W3CDTF">2015-10-19T20:38:00Z</dcterms:modified>
</cp:coreProperties>
</file>