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160"/>
              <w:left w:type="dxa" w:w="240"/>
              <w:bottom w:type="dxa" w:w="160"/>
              <w:right w:type="dxa" w:w="240"/>
            </w:tcMar>
          </w:tcPr>
          <w:p>
            <w:pPr>
              <w:spacing w:before="20" w:after="20"/>
              <w:jc w:val="center"/>
            </w:pPr>
            <w:r>
              <w:rPr>
                <w:rFonts w:ascii="Arial" w:cs="Arial" w:eastAsia="Arial" w:hAnsi="Arial"/>
                <w:b/>
                <w:bCs/>
                <w:color w:val="FFFFFF"/>
                <w:sz w:val="22"/>
                <w:szCs w:val="22"/>
              </w:rPr>
              <w:t xml:space="preserve">PLAN DE IMPLEMENTACIÓN POR FASES</w:t>
            </w:r>
          </w:p>
          <w:p>
            <w:pPr>
              <w:spacing w:before="20" w:after="20"/>
              <w:jc w:val="center"/>
            </w:pPr>
            <w:r>
              <w:rPr>
                <w:rFonts w:ascii="Arial" w:cs="Arial" w:eastAsia="Arial" w:hAnsi="Arial"/>
                <w:b/>
                <w:bCs/>
                <w:color w:val="FFFFFF"/>
                <w:sz w:val="38"/>
                <w:szCs w:val="38"/>
              </w:rPr>
              <w:t xml:space="preserve">Agente Conversacional · Gestión de Recursos BC</w:t>
            </w:r>
          </w:p>
          <w:p>
            <w:pPr>
              <w:spacing w:before="20" w:after="20"/>
              <w:jc w:val="center"/>
            </w:pPr>
            <w:r>
              <w:rPr>
                <w:rFonts w:ascii="Arial" w:cs="Arial" w:eastAsia="Arial" w:hAnsi="Arial"/>
                <w:b w:val="false"/>
                <w:bCs w:val="false"/>
                <w:color w:val="FFFFFF"/>
                <w:sz w:val="12"/>
                <w:szCs w:val="12"/>
              </w:rPr>
              <w:t xml:space="preserve"/>
            </w:r>
          </w:p>
          <w:p>
            <w:pPr>
              <w:spacing w:before="20" w:after="20"/>
              <w:jc w:val="center"/>
            </w:pPr>
            <w:r>
              <w:rPr>
                <w:rFonts w:ascii="Arial" w:cs="Arial" w:eastAsia="Arial" w:hAnsi="Arial"/>
                <w:b w:val="false"/>
                <w:bCs w:val="false"/>
                <w:color w:val="FFFFFF"/>
                <w:sz w:val="19"/>
                <w:szCs w:val="19"/>
              </w:rPr>
              <w:t xml:space="preserve">Teams (Fase 1)  ·  WhatsApp Business (Fase 2)  ·  Azure Container App  ·  Azure OpenAI  ·  BC On-Premise</w:t>
            </w:r>
          </w:p>
          <w:p>
            <w:pPr>
              <w:spacing w:before="20" w:after="20"/>
              <w:jc w:val="center"/>
            </w:pPr>
            <w:r>
              <w:rPr>
                <w:rFonts w:ascii="Arial" w:cs="Arial" w:eastAsia="Arial" w:hAnsi="Arial"/>
                <w:b w:val="false"/>
                <w:bCs w:val="false"/>
                <w:color w:val="FFFFFF"/>
                <w:sz w:val="12"/>
                <w:szCs w:val="12"/>
              </w:rPr>
              <w:t xml:space="preserve"/>
            </w:r>
          </w:p>
          <w:p>
            <w:pPr>
              <w:spacing w:before="20" w:after="20"/>
              <w:jc w:val="center"/>
            </w:pPr>
            <w:r>
              <w:rPr>
                <w:rFonts w:ascii="Arial" w:cs="Arial" w:eastAsia="Arial" w:hAnsi="Arial"/>
                <w:b w:val="false"/>
                <w:bCs w:val="false"/>
                <w:color w:val="FFFFFF"/>
                <w:sz w:val="18"/>
                <w:szCs w:val="18"/>
              </w:rPr>
              <w:t xml:space="preserve">Transformación Digital · Febrero 2026</w:t>
            </w:r>
          </w:p>
        </w:tc>
      </w:tr>
    </w:tbl>
    <w:p>
      <w:pPr>
        <w:spacing w:before="20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8"/>
      </w:tblGrid>
      <w:tr>
        <w:tc>
          <w:tcPr>
            <w:tcW w:type="dxa" w:w="2526"/>
            <w:tcBorders>
              <w:top w:val="none" w:color="FFFFFF" w:sz="0"/>
              <w:left w:val="none" w:color="FFFFFF" w:sz="0"/>
              <w:bottom w:val="none" w:color="FFFFFF" w:sz="0"/>
              <w:right w:val="none" w:color="FFFFFF" w:sz="0"/>
            </w:tcBorders>
            <w:shd w:fill="1E8449"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FASE 1 — MVP Azure Bot</w:t>
            </w:r>
          </w:p>
        </w:tc>
        <w:tc>
          <w:tcPr>
            <w:tcW w:type="dxa" w:w="2526"/>
            <w:tcBorders>
              <w:top w:val="none" w:color="FFFFFF" w:sz="0"/>
              <w:left w:val="none" w:color="FFFFFF" w:sz="0"/>
              <w:bottom w:val="none" w:color="FFFFFF" w:sz="0"/>
              <w:right w:val="none" w:color="FFFFFF" w:sz="0"/>
            </w:tcBorders>
            <w:shd w:fill="25D366"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FASE 2 — WhatsApp + Robustez</w:t>
            </w:r>
          </w:p>
        </w:tc>
        <w:tc>
          <w:tcPr>
            <w:tcW w:type="dxa" w:w="2526"/>
            <w:tcBorders>
              <w:top w:val="none" w:color="FFFFFF" w:sz="0"/>
              <w:left w:val="none" w:color="FFFFFF" w:sz="0"/>
              <w:bottom w:val="none" w:color="FFFFFF" w:sz="0"/>
              <w:right w:val="none" w:color="FFFFFF" w:sz="0"/>
            </w:tcBorders>
            <w:shd w:fill="6C3483"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FASE 3 — Observabilidad</w:t>
            </w:r>
          </w:p>
        </w:tc>
        <w:tc>
          <w:tcPr>
            <w:tcW w:type="dxa" w:w="2528"/>
            <w:tcBorders>
              <w:top w:val="none" w:color="FFFFFF" w:sz="0"/>
              <w:left w:val="none" w:color="FFFFFF" w:sz="0"/>
              <w:bottom w:val="none" w:color="FFFFFF" w:sz="0"/>
              <w:right w:val="none" w:color="FFFFFF" w:sz="0"/>
            </w:tcBorders>
            <w:shd w:fill="E67E22"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FASE 4 — Escala</w:t>
            </w:r>
          </w:p>
        </w:tc>
      </w:tr>
    </w:tbl>
    <w:p>
      <w:pPr>
        <w:spacing w:before="20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r>
              <w:rPr>
                <w:rFonts w:ascii="Arial" w:cs="Arial" w:eastAsia="Arial" w:hAnsi="Arial"/>
                <w:b/>
                <w:bCs/>
                <w:color w:val="003A70"/>
                <w:sz w:val="20"/>
                <w:szCs w:val="20"/>
              </w:rPr>
              <w:t xml:space="preserve">Cada fase es un producto terminado y vendible por sí solo. La empresa decide hasta dónde llegar.</w:t>
            </w:r>
          </w:p>
        </w:tc>
      </w:tr>
    </w:tbl>
    <w:p>
      <w:r>
        <w:br w:type="page"/>
      </w:r>
    </w:p>
    <w:p>
      <w:pPr>
        <w:pStyle w:val="Heading1"/>
        <w:spacing w:before="280" w:after="140"/>
      </w:pPr>
      <w:r>
        <w:rPr>
          <w:rFonts w:ascii="Arial" w:cs="Arial" w:eastAsia="Arial" w:hAnsi="Arial"/>
          <w:b/>
          <w:bCs/>
          <w:color w:val="003A70"/>
          <w:sz w:val="34"/>
          <w:szCs w:val="34"/>
        </w:rPr>
        <w:t xml:space="preserve">1. Por qué este enfoque por fases</w:t>
      </w:r>
    </w:p>
    <w:p>
      <w:pPr>
        <w:spacing w:before="60" w:after="60"/>
      </w:pPr>
      <w:r>
        <w:rPr>
          <w:rFonts w:ascii="Arial" w:cs="Arial" w:eastAsia="Arial" w:hAnsi="Arial"/>
          <w:color w:val="1C2833"/>
          <w:sz w:val="20"/>
          <w:szCs w:val="20"/>
        </w:rPr>
        <w:t xml:space="preserve">El agente de Gestión de Recursos tiene múltiples capas de complejidad. Implementarlo todo de golpe implica meses de desarrollo, coste mensual máximo desde el primer día y la necesidad de justificar una inversión completa antes de haber demostrado valor.</w:t>
      </w:r>
    </w:p>
    <w:p>
      <w:pPr>
        <w:spacing w:before="80" w:after="0"/>
      </w:pPr>
    </w:p>
    <w:p>
      <w:pPr>
        <w:spacing w:before="60" w:after="60"/>
      </w:pPr>
      <w:r>
        <w:rPr>
          <w:rFonts w:ascii="Arial" w:cs="Arial" w:eastAsia="Arial" w:hAnsi="Arial"/>
          <w:color w:val="1C2833"/>
          <w:sz w:val="20"/>
          <w:szCs w:val="20"/>
        </w:rPr>
        <w:t xml:space="preserve">El enfoque por fases invierte esa lógica: la Fase 1 entrega funcionalidad real en semanas con el coste mínimo posible, y deja que la empresa decida si continuar. Cada fase siguiente añade robustez o nuevos canales, no funcionalidad nueva de base.</w:t>
      </w:r>
    </w:p>
    <w:p>
      <w:pPr>
        <w:spacing w:before="10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600"/>
        <w:gridCol w:w="5506"/>
      </w:tblGrid>
      <w:tr>
        <w:tc>
          <w:tcPr>
            <w:tcW w:type="dxa" w:w="4600"/>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b/>
                <w:bCs/>
                <w:color w:val="FFFFFF"/>
                <w:sz w:val="19"/>
                <w:szCs w:val="19"/>
              </w:rPr>
              <w:t xml:space="preserve">Enfoque fase a fase</w:t>
            </w:r>
          </w:p>
        </w:tc>
        <w:tc>
          <w:tcPr>
            <w:tcW w:type="dxa" w:w="5506"/>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color w:val="FFFFFF"/>
                <w:sz w:val="19"/>
                <w:szCs w:val="19"/>
              </w:rPr>
              <w:t xml:space="preserve">Todo de golpe</w:t>
            </w:r>
          </w:p>
        </w:tc>
      </w:tr>
      <w:tr>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Valor funcional en 3–4 semanas</w:t>
            </w:r>
          </w:p>
        </w:tc>
        <w:tc>
          <w:tcPr>
            <w:tcW w:type="dxa" w:w="5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Valor funcional en 3–4 meses</w:t>
            </w:r>
          </w:p>
        </w:tc>
      </w:tr>
      <w:tr>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Coste inicial: ~65 €/mes</w:t>
            </w:r>
          </w:p>
        </w:tc>
        <w:tc>
          <w:tcPr>
            <w:tcW w:type="dxa" w:w="5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Coste inicial: ~200–300 €/mes</w:t>
            </w:r>
          </w:p>
        </w:tc>
      </w:tr>
      <w:tr>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Empresa aprueba fase a fase</w:t>
            </w:r>
          </w:p>
        </w:tc>
        <w:tc>
          <w:tcPr>
            <w:tcW w:type="dxa" w:w="5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Hay que justificar todo antes de empezar</w:t>
            </w:r>
          </w:p>
        </w:tc>
      </w:tr>
      <w:tr>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Riesgo técnico distribuido</w:t>
            </w:r>
          </w:p>
        </w:tc>
        <w:tc>
          <w:tcPr>
            <w:tcW w:type="dxa" w:w="5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Riesgo concentrado en lanzamiento</w:t>
            </w:r>
          </w:p>
        </w:tc>
      </w:tr>
      <w:tr>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Si se para en Fase 1, pérdida mínima</w:t>
            </w:r>
          </w:p>
        </w:tc>
        <w:tc>
          <w:tcPr>
            <w:tcW w:type="dxa" w:w="5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Si se para a mitad, inversión perdida</w:t>
            </w:r>
          </w:p>
        </w:tc>
      </w:tr>
      <w:tr>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Aprendizaje en producción real</w:t>
            </w:r>
          </w:p>
        </w:tc>
        <w:tc>
          <w:tcPr>
            <w:tcW w:type="dxa" w:w="5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Diseño basado en suposiciones</w:t>
            </w:r>
          </w:p>
        </w:tc>
      </w:tr>
    </w:tbl>
    <w:p>
      <w:pPr>
        <w:spacing w:before="160" w:after="0"/>
      </w:pPr>
    </w:p>
    <w:p>
      <w:r>
        <w:br w:type="page"/>
      </w:r>
    </w:p>
    <w:p>
      <w:pPr>
        <w:pStyle w:val="Heading1"/>
        <w:spacing w:before="280" w:after="140"/>
      </w:pPr>
      <w:r>
        <w:rPr>
          <w:rFonts w:ascii="Arial" w:cs="Arial" w:eastAsia="Arial" w:hAnsi="Arial"/>
          <w:b/>
          <w:bCs/>
          <w:color w:val="003A70"/>
          <w:sz w:val="34"/>
          <w:szCs w:val="34"/>
        </w:rPr>
        <w:t xml:space="preserve">2. Resumen de fases — visión rápida</w:t>
      </w:r>
    </w:p>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1600"/>
        <w:gridCol w:w="1400"/>
        <w:gridCol w:w="800"/>
      </w:tblGrid>
      <w:tr>
        <w:tc>
          <w:tcPr>
            <w:tcW w:type="dxa" w:w="9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Fase</w:t>
            </w:r>
          </w:p>
        </w:tc>
        <w:tc>
          <w:tcPr>
            <w:tcW w:type="dxa" w:w="24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Nombre</w:t>
            </w:r>
          </w:p>
        </w:tc>
        <w:tc>
          <w:tcPr>
            <w:tcW w:type="dxa" w:w="30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Qué incluye</w:t>
            </w:r>
          </w:p>
        </w:tc>
        <w:tc>
          <w:tcPr>
            <w:tcW w:type="dxa" w:w="16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Coste/mes</w:t>
            </w:r>
          </w:p>
        </w:tc>
        <w:tc>
          <w:tcPr>
            <w:tcW w:type="dxa" w:w="14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Duración</w:t>
            </w:r>
          </w:p>
        </w:tc>
        <w:tc>
          <w:tcPr>
            <w:tcW w:type="dxa" w:w="800"/>
            <w:tcBorders>
              <w:top w:val="single" w:color="003A70" w:sz="1"/>
              <w:left w:val="single" w:color="003A70" w:sz="1"/>
              <w:bottom w:val="single" w:color="003A70" w:sz="1"/>
              <w:right w:val="single" w:color="003A70" w:sz="1"/>
            </w:tcBorders>
            <w:shd w:fill="003A7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Riesgo</w:t>
            </w:r>
          </w:p>
        </w:tc>
      </w:tr>
      <w:tr>
        <w:tc>
          <w:tcPr>
            <w:tcW w:type="dxa" w:w="900"/>
            <w:tcBorders>
              <w:top w:val="single" w:color="D5D8DC" w:sz="1"/>
              <w:left w:val="single" w:color="D5D8DC" w:sz="1"/>
              <w:bottom w:val="single" w:color="D5D8DC" w:sz="1"/>
              <w:right w:val="single" w:color="D5D8DC" w:sz="1"/>
            </w:tcBorders>
            <w:shd w:fill="1E844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400"/>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b/>
                <w:bCs/>
                <w:color w:val="1E8449"/>
                <w:sz w:val="18"/>
                <w:szCs w:val="18"/>
              </w:rPr>
              <w:t xml:space="preserve">MVP — Azure Bot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8"/>
                <w:szCs w:val="18"/>
              </w:rPr>
              <w:t xml:space="preserve">Container App + OpenAI + Gateway + OData BC + Power Automate. Canal Azure Bot. Todos los perfiles.</w:t>
            </w:r>
          </w:p>
        </w:tc>
        <w:tc>
          <w:tcPr>
            <w:tcW w:type="dxa" w:w="16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E8449"/>
                <w:sz w:val="20"/>
                <w:szCs w:val="20"/>
              </w:rPr>
              <w:t xml:space="preserve">~65 €</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3–4 sem.</w:t>
            </w:r>
          </w:p>
        </w:tc>
        <w:tc>
          <w:tcPr>
            <w:tcW w:type="dxa" w:w="800"/>
            <w:tcBorders>
              <w:top w:val="single" w:color="D5D8DC" w:sz="1"/>
              <w:left w:val="single" w:color="D5D8DC" w:sz="1"/>
              <w:bottom w:val="single" w:color="D5D8DC" w:sz="1"/>
              <w:right w:val="single" w:color="D5D8DC" w:sz="1"/>
            </w:tcBorders>
            <w:shd w:fill="D5F5E3" w:val="clear"/>
            <w:tcMar>
              <w:top w:type="dxa" w:w="80"/>
              <w:left w:type="dxa" w:w="60"/>
              <w:bottom w:type="dxa" w:w="80"/>
              <w:right w:type="dxa" w:w="60"/>
            </w:tcMar>
          </w:tcPr>
          <w:p>
            <w:pPr>
              <w:jc w:val="center"/>
            </w:pPr>
            <w:r>
              <w:rPr>
                <w:rFonts w:ascii="Arial" w:cs="Arial" w:eastAsia="Arial" w:hAnsi="Arial"/>
                <w:b/>
                <w:bCs/>
                <w:color w:val="145A32"/>
                <w:sz w:val="16"/>
                <w:szCs w:val="16"/>
              </w:rPr>
              <w:t xml:space="preserve">BAJO</w:t>
            </w:r>
          </w:p>
        </w:tc>
      </w:tr>
      <w:tr>
        <w:tc>
          <w:tcPr>
            <w:tcW w:type="dxa" w:w="900"/>
            <w:tcBorders>
              <w:top w:val="single" w:color="D5D8DC" w:sz="1"/>
              <w:left w:val="single" w:color="D5D8DC" w:sz="1"/>
              <w:bottom w:val="single" w:color="D5D8DC" w:sz="1"/>
              <w:right w:val="single" w:color="D5D8DC" w:sz="1"/>
            </w:tcBorders>
            <w:shd w:fill="25D36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400"/>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b/>
                <w:bCs/>
                <w:color w:val="25D366"/>
                <w:sz w:val="18"/>
                <w:szCs w:val="18"/>
              </w:rPr>
              <w:t xml:space="preserve">WhatsApp + Robustez</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8"/>
                <w:szCs w:val="18"/>
              </w:rPr>
              <w:t xml:space="preserve">WhatsApp activado como canal adicional del bot ya existente. Jefes de Obra en campo. Key Vault. Alertas proactivas.</w:t>
            </w:r>
          </w:p>
        </w:tc>
        <w:tc>
          <w:tcPr>
            <w:tcW w:type="dxa" w:w="16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25D366"/>
                <w:sz w:val="20"/>
                <w:szCs w:val="20"/>
              </w:rPr>
              <w:t xml:space="preserve">~90 €</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3 sem.</w:t>
            </w:r>
          </w:p>
        </w:tc>
        <w:tc>
          <w:tcPr>
            <w:tcW w:type="dxa" w:w="800"/>
            <w:tcBorders>
              <w:top w:val="single" w:color="D5D8DC" w:sz="1"/>
              <w:left w:val="single" w:color="D5D8DC" w:sz="1"/>
              <w:bottom w:val="single" w:color="D5D8DC" w:sz="1"/>
              <w:right w:val="single" w:color="D5D8DC" w:sz="1"/>
            </w:tcBorders>
            <w:shd w:fill="D5F5E3" w:val="clear"/>
            <w:tcMar>
              <w:top w:type="dxa" w:w="80"/>
              <w:left w:type="dxa" w:w="60"/>
              <w:bottom w:type="dxa" w:w="80"/>
              <w:right w:type="dxa" w:w="60"/>
            </w:tcMar>
          </w:tcPr>
          <w:p>
            <w:pPr>
              <w:jc w:val="center"/>
            </w:pPr>
            <w:r>
              <w:rPr>
                <w:rFonts w:ascii="Arial" w:cs="Arial" w:eastAsia="Arial" w:hAnsi="Arial"/>
                <w:b/>
                <w:bCs/>
                <w:color w:val="145A32"/>
                <w:sz w:val="16"/>
                <w:szCs w:val="16"/>
              </w:rPr>
              <w:t xml:space="preserve">BAJO</w:t>
            </w:r>
          </w:p>
        </w:tc>
      </w:tr>
      <w:tr>
        <w:tc>
          <w:tcPr>
            <w:tcW w:type="dxa" w:w="900"/>
            <w:tcBorders>
              <w:top w:val="single" w:color="D5D8DC" w:sz="1"/>
              <w:left w:val="single" w:color="D5D8DC" w:sz="1"/>
              <w:bottom w:val="single" w:color="D5D8DC" w:sz="1"/>
              <w:right w:val="single" w:color="D5D8DC" w:sz="1"/>
            </w:tcBorders>
            <w:shd w:fill="6C3483"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400"/>
            <w:tcBorders>
              <w:top w:val="single" w:color="D5D8DC" w:sz="1"/>
              <w:left w:val="single" w:color="D5D8DC" w:sz="1"/>
              <w:bottom w:val="single" w:color="D5D8DC" w:sz="1"/>
              <w:right w:val="single" w:color="D5D8DC" w:sz="1"/>
            </w:tcBorders>
            <w:shd w:fill="E8DAEF" w:val="clear"/>
            <w:tcMar>
              <w:top w:type="dxa" w:w="80"/>
              <w:left w:type="dxa" w:w="100"/>
              <w:bottom w:type="dxa" w:w="80"/>
              <w:right w:type="dxa" w:w="100"/>
            </w:tcMar>
          </w:tcPr>
          <w:p>
            <w:r>
              <w:rPr>
                <w:rFonts w:ascii="Arial" w:cs="Arial" w:eastAsia="Arial" w:hAnsi="Arial"/>
                <w:b/>
                <w:bCs/>
                <w:color w:val="6C3483"/>
                <w:sz w:val="18"/>
                <w:szCs w:val="18"/>
              </w:rPr>
              <w:t xml:space="preserve">Observabilidad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8"/>
                <w:szCs w:val="18"/>
              </w:rPr>
              <w:t xml:space="preserve">App Insights + Azure Monitor. Dashboard operativo. Saber qué pasa antes de que lo reporte un usuario.</w:t>
            </w:r>
          </w:p>
        </w:tc>
        <w:tc>
          <w:tcPr>
            <w:tcW w:type="dxa" w:w="1600"/>
            <w:tcBorders>
              <w:top w:val="single" w:color="D5D8DC" w:sz="1"/>
              <w:left w:val="single" w:color="D5D8DC" w:sz="1"/>
              <w:bottom w:val="single" w:color="D5D8DC" w:sz="1"/>
              <w:right w:val="single" w:color="D5D8DC" w:sz="1"/>
            </w:tcBorders>
            <w:shd w:fill="E8DAEF" w:val="clear"/>
            <w:tcMar>
              <w:top w:type="dxa" w:w="80"/>
              <w:left w:type="dxa" w:w="80"/>
              <w:bottom w:type="dxa" w:w="80"/>
              <w:right w:type="dxa" w:w="80"/>
            </w:tcMar>
          </w:tcPr>
          <w:p>
            <w:pPr>
              <w:jc w:val="center"/>
            </w:pPr>
            <w:r>
              <w:rPr>
                <w:rFonts w:ascii="Arial" w:cs="Arial" w:eastAsia="Arial" w:hAnsi="Arial"/>
                <w:b/>
                <w:bCs/>
                <w:color w:val="6C3483"/>
                <w:sz w:val="20"/>
                <w:szCs w:val="20"/>
              </w:rPr>
              <w:t xml:space="preserve">~120 €</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2 sem.</w:t>
            </w:r>
          </w:p>
        </w:tc>
        <w:tc>
          <w:tcPr>
            <w:tcW w:type="dxa" w:w="800"/>
            <w:tcBorders>
              <w:top w:val="single" w:color="D5D8DC" w:sz="1"/>
              <w:left w:val="single" w:color="D5D8DC" w:sz="1"/>
              <w:bottom w:val="single" w:color="D5D8DC" w:sz="1"/>
              <w:right w:val="single" w:color="D5D8DC" w:sz="1"/>
            </w:tcBorders>
            <w:shd w:fill="D5F5E3" w:val="clear"/>
            <w:tcMar>
              <w:top w:type="dxa" w:w="80"/>
              <w:left w:type="dxa" w:w="60"/>
              <w:bottom w:type="dxa" w:w="80"/>
              <w:right w:type="dxa" w:w="60"/>
            </w:tcMar>
          </w:tcPr>
          <w:p>
            <w:pPr>
              <w:jc w:val="center"/>
            </w:pPr>
            <w:r>
              <w:rPr>
                <w:rFonts w:ascii="Arial" w:cs="Arial" w:eastAsia="Arial" w:hAnsi="Arial"/>
                <w:b/>
                <w:bCs/>
                <w:color w:val="145A32"/>
                <w:sz w:val="16"/>
                <w:szCs w:val="16"/>
              </w:rPr>
              <w:t xml:space="preserve">BAJO</w:t>
            </w:r>
          </w:p>
        </w:tc>
      </w:tr>
      <w:tr>
        <w:tc>
          <w:tcPr>
            <w:tcW w:type="dxa" w:w="900"/>
            <w:tcBorders>
              <w:top w:val="single" w:color="D5D8DC" w:sz="1"/>
              <w:left w:val="single" w:color="D5D8DC" w:sz="1"/>
              <w:bottom w:val="single" w:color="D5D8DC" w:sz="1"/>
              <w:right w:val="single" w:color="D5D8DC" w:sz="1"/>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400"/>
            <w:tcBorders>
              <w:top w:val="single" w:color="D5D8DC" w:sz="1"/>
              <w:left w:val="single" w:color="D5D8DC" w:sz="1"/>
              <w:bottom w:val="single" w:color="D5D8DC" w:sz="1"/>
              <w:right w:val="single" w:color="D5D8DC" w:sz="1"/>
            </w:tcBorders>
            <w:shd w:fill="FDEBD0" w:val="clear"/>
            <w:tcMar>
              <w:top w:type="dxa" w:w="80"/>
              <w:left w:type="dxa" w:w="100"/>
              <w:bottom w:type="dxa" w:w="80"/>
              <w:right w:type="dxa" w:w="100"/>
            </w:tcMar>
          </w:tcPr>
          <w:p>
            <w:r>
              <w:rPr>
                <w:rFonts w:ascii="Arial" w:cs="Arial" w:eastAsia="Arial" w:hAnsi="Arial"/>
                <w:b/>
                <w:bCs/>
                <w:color w:val="E67E22"/>
                <w:sz w:val="18"/>
                <w:szCs w:val="18"/>
              </w:rPr>
              <w:t xml:space="preserve">Escala</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8"/>
                <w:szCs w:val="18"/>
              </w:rPr>
              <w:t xml:space="preserve">Bot Teams nativo + Redis + Service Bus si los datos de Fase 3 lo justifican.</w:t>
            </w:r>
          </w:p>
        </w:tc>
        <w:tc>
          <w:tcPr>
            <w:tcW w:type="dxa" w:w="16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jc w:val="center"/>
            </w:pPr>
            <w:r>
              <w:rPr>
                <w:rFonts w:ascii="Arial" w:cs="Arial" w:eastAsia="Arial" w:hAnsi="Arial"/>
                <w:b/>
                <w:bCs/>
                <w:color w:val="E67E22"/>
                <w:sz w:val="20"/>
                <w:szCs w:val="20"/>
              </w:rPr>
              <w:t xml:space="preserve">~160 €</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3–4 sem.</w:t>
            </w:r>
          </w:p>
        </w:tc>
        <w:tc>
          <w:tcPr>
            <w:tcW w:type="dxa" w:w="800"/>
            <w:tcBorders>
              <w:top w:val="single" w:color="D5D8DC" w:sz="1"/>
              <w:left w:val="single" w:color="D5D8DC" w:sz="1"/>
              <w:bottom w:val="single" w:color="D5D8DC" w:sz="1"/>
              <w:right w:val="single" w:color="D5D8DC" w:sz="1"/>
            </w:tcBorders>
            <w:shd w:fill="D5F5E3" w:val="clear"/>
            <w:tcMar>
              <w:top w:type="dxa" w:w="80"/>
              <w:left w:type="dxa" w:w="60"/>
              <w:bottom w:type="dxa" w:w="80"/>
              <w:right w:type="dxa" w:w="60"/>
            </w:tcMar>
          </w:tcPr>
          <w:p>
            <w:pPr>
              <w:jc w:val="center"/>
            </w:pPr>
            <w:r>
              <w:rPr>
                <w:rFonts w:ascii="Arial" w:cs="Arial" w:eastAsia="Arial" w:hAnsi="Arial"/>
                <w:b/>
                <w:bCs/>
                <w:color w:val="145A32"/>
                <w:sz w:val="16"/>
                <w:szCs w:val="16"/>
              </w:rPr>
              <w:t xml:space="preserve">BAJO</w:t>
            </w:r>
          </w:p>
        </w:tc>
      </w:tr>
    </w:tbl>
    <w:p>
      <w:pPr>
        <w:spacing w:before="160" w:after="0"/>
      </w:pPr>
    </w:p>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none" w:color="FFFFFF" w:sz="0"/>
              <w:left w:val="none" w:color="FFFFFF" w:sz="0"/>
              <w:bottom w:val="none" w:color="FFFFFF" w:sz="0"/>
              <w:right w:val="none" w:color="FFFFFF" w:sz="0"/>
            </w:tcBorders>
            <w:shd w:fill="1E8449" w:val="clear"/>
            <w:tcMar>
              <w:top w:type="dxa" w:w="200"/>
              <w:left w:type="dxa" w:w="160"/>
              <w:bottom w:type="dxa" w:w="200"/>
              <w:right w:type="dxa" w:w="160"/>
            </w:tcMar>
            <w:vAlign w:val="center"/>
          </w:tcPr>
          <w:p>
            <w:pPr>
              <w:jc w:val="center"/>
            </w:pPr>
            <w:r>
              <w:rPr>
                <w:rFonts w:ascii="Arial" w:cs="Arial" w:eastAsia="Arial" w:hAnsi="Arial"/>
                <w:b/>
                <w:bCs/>
                <w:color w:val="FFFFFF"/>
                <w:sz w:val="16"/>
                <w:szCs w:val="16"/>
              </w:rPr>
              <w:t xml:space="preserve">FASE 1</w:t>
            </w:r>
          </w:p>
          <w:p>
            <w:pPr>
              <w:jc w:val="center"/>
            </w:pPr>
            <w:r>
              <w:rPr>
                <w:rFonts w:ascii="Arial" w:cs="Arial" w:eastAsia="Arial" w:hAnsi="Arial"/>
                <w:b/>
                <w:bCs/>
                <w:color w:val="FFFFFF"/>
                <w:sz w:val="28"/>
                <w:szCs w:val="28"/>
              </w:rPr>
              <w:t xml:space="preserve">MVP — Azure Bot</w:t>
            </w:r>
          </w:p>
          <w:p>
            <w:pPr>
              <w:spacing w:before="40" w:after="0"/>
            </w:pPr>
          </w:p>
          <w:p>
            <w:pPr>
              <w:jc w:val="center"/>
            </w:pPr>
            <w:r>
              <w:rPr>
                <w:rFonts w:ascii="Arial" w:cs="Arial" w:eastAsia="Arial" w:hAnsi="Arial"/>
                <w:b/>
                <w:bCs/>
                <w:color w:val="FFFFFF"/>
                <w:sz w:val="22"/>
                <w:szCs w:val="22"/>
              </w:rPr>
              <w:t xml:space="preserve">~65 €/mes</w:t>
            </w:r>
          </w:p>
          <w:p>
            <w:pPr>
              <w:jc w:val="center"/>
            </w:pPr>
            <w:r>
              <w:rPr>
                <w:rFonts w:ascii="Arial" w:cs="Arial" w:eastAsia="Arial" w:hAnsi="Arial"/>
                <w:color w:val="FFFFFF"/>
                <w:sz w:val="18"/>
                <w:szCs w:val="18"/>
              </w:rPr>
              <w:t xml:space="preserve">3–4 semanas</w:t>
            </w:r>
          </w:p>
        </w:tc>
        <w:tc>
          <w:tcPr>
            <w:tcW w:type="dxa" w:w="8306"/>
            <w:tcBorders>
              <w:top w:val="single" w:color="145A32" w:sz="1"/>
              <w:left w:val="single" w:color="145A32" w:sz="1"/>
              <w:bottom w:val="single" w:color="145A32" w:sz="1"/>
              <w:right w:val="single" w:color="145A32" w:sz="1"/>
            </w:tcBorders>
            <w:shd w:fill="FFFFFF" w:val="clear"/>
            <w:tcMar>
              <w:top w:type="dxa" w:w="160"/>
              <w:left w:type="dxa" w:w="200"/>
              <w:bottom w:type="dxa" w:w="160"/>
              <w:right w:type="dxa" w:w="200"/>
            </w:tcMar>
          </w:tcPr>
          <w:p>
            <w:r>
              <w:rPr>
                <w:rFonts w:ascii="Arial" w:cs="Arial" w:eastAsia="Arial" w:hAnsi="Arial"/>
                <w:b/>
                <w:bCs/>
                <w:color w:val="1E8449"/>
                <w:sz w:val="22"/>
                <w:szCs w:val="22"/>
              </w:rPr>
              <w:t xml:space="preserve">El agente funciona. Consultas y acciones reales sobre BC. Todos los perfiles desde el primer día.</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b w:val="false"/>
                <w:bCs w:val="false"/>
                <w:color w:val="145A32"/>
                <w:sz w:val="20"/>
                <w:szCs w:val="20"/>
              </w:rPr>
              <w:t xml:space="preserve">Argumento para la empresa: "Con el coste de una cena de equipo al mes, RRHH, Obra, Compras y Dirección pueden consultar y operar sobre Business Central en lenguaje natural desde Teams — sin tocar BC directamente."</w:t>
            </w:r>
          </w:p>
        </w:tc>
      </w:tr>
    </w:tbl>
    <w:p>
      <w:pPr>
        <w:spacing w:before="120" w:after="0"/>
      </w:pPr>
    </w:p>
    <w:p>
      <w:pPr>
        <w:pStyle w:val="Heading2"/>
        <w:spacing w:before="200" w:after="100"/>
      </w:pPr>
      <w:r>
        <w:rPr>
          <w:rFonts w:ascii="Arial" w:cs="Arial" w:eastAsia="Arial" w:hAnsi="Arial"/>
          <w:b/>
          <w:bCs/>
          <w:color w:val="0078D4"/>
          <w:sz w:val="26"/>
          <w:szCs w:val="26"/>
        </w:rPr>
        <w:t xml:space="preserve">Canal Fase 1: Azure Bot Service — Teams</w:t>
      </w:r>
    </w:p>
    <w:p>
      <w:pPr>
        <w:spacing w:before="60" w:after="60"/>
      </w:pPr>
      <w:r>
        <w:rPr>
          <w:rFonts w:ascii="Arial" w:cs="Arial" w:eastAsia="Arial" w:hAnsi="Arial"/>
          <w:color w:val="1C2833"/>
          <w:sz w:val="20"/>
          <w:szCs w:val="20"/>
        </w:rPr>
        <w:t xml:space="preserve">El agente se registra como Azure Bot y se publica en el canal de Microsoft Teams. El usuario lo encuentra en Teams como cualquier otro bot o contacto y chatea directamente con él. Sin frontend que mantener, sin pestaña web, sin coste. El Bot Service es gratuito (plan F0) y en Fase 2 se activa WhatsApp sobre el mismo bot sin tocar nada del orquestador.</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Canal</w:t>
            </w:r>
          </w:p>
        </w:tc>
        <w:tc>
          <w:tcPr>
            <w:tcW w:type="dxa" w:w="6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Azure Bot Service — canal Teams nativo</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Plan del bot</w:t>
            </w:r>
          </w:p>
        </w:tc>
        <w:tc>
          <w:tcPr>
            <w:tcW w:type="dxa" w:w="69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F0 gratuito. S1 en producción: céntimos por mensaje.</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Usuarios</w:t>
            </w:r>
          </w:p>
        </w:tc>
        <w:tc>
          <w:tcPr>
            <w:tcW w:type="dxa" w:w="6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RRHH / Administración, Jefes de Obra (en oficina), Responsable de Compras, Dirección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Autenticación</w:t>
            </w:r>
          </w:p>
        </w:tc>
        <w:tc>
          <w:tcPr>
            <w:tcW w:type="dxa" w:w="69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SSO con Entra ID. Sin login adicional para el usuario de Teams.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003A70"/>
                <w:sz w:val="19"/>
                <w:szCs w:val="19"/>
              </w:rPr>
              <w:t xml:space="preserve">Tiempo de setup del canal</w:t>
            </w:r>
          </w:p>
        </w:tc>
        <w:tc>
          <w:tcPr>
            <w:tcW w:type="dxa" w:w="6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~3–4 horas: App Registration Entra + registro bot + activar canal Teams.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003A70"/>
                <w:sz w:val="19"/>
                <w:szCs w:val="19"/>
              </w:rPr>
              <w:t xml:space="preserve">Ventaja clave para Fase 2</w:t>
            </w:r>
          </w:p>
        </w:tc>
        <w:tc>
          <w:tcPr>
            <w:tcW w:type="dxa" w:w="69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WhatsApp se añade activando un canal adicional en el mismo bot. Sin cambios en el orquestador.</w:t>
            </w:r>
          </w:p>
        </w:tc>
      </w:tr>
    </w:tbl>
    <w:p>
      <w:pPr>
        <w:spacing w:before="120" w:after="0"/>
      </w:pPr>
    </w:p>
    <w:p>
      <w:pPr>
        <w:pStyle w:val="Heading2"/>
        <w:spacing w:before="200" w:after="100"/>
      </w:pPr>
      <w:r>
        <w:rPr>
          <w:rFonts w:ascii="Arial" w:cs="Arial" w:eastAsia="Arial" w:hAnsi="Arial"/>
          <w:b/>
          <w:bCs/>
          <w:color w:val="0078D4"/>
          <w:sz w:val="26"/>
          <w:szCs w:val="26"/>
        </w:rPr>
        <w:t xml:space="preserve">Componentes incluidos en Fase 1</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706"/>
      </w:tblGrid>
      <w:tr>
        <w:tc>
          <w:tcPr>
            <w:tcW w:type="dxa" w:w="36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Componente / Recurso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¿Incluido?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Coste/mes</w:t>
            </w:r>
          </w:p>
        </w:tc>
        <w:tc>
          <w:tcPr>
            <w:tcW w:type="dxa" w:w="3706"/>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Justificación</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Bot Service (F0)</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~0 €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Gratuito. Canal Teams nativo desde el inicio. En Fase 2 se activa WhatsApp como canal adicional sobre el mismo bot.</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Container Registry</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~5 €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Aloja la imagen Docker del orquestador. Coste fijo mínimo.</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Container App (Consumption)</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~5–15 €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Orquestador Python/FastAPI. Pago solo por uso real.</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OpenAI — GPT-4o mini</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~40–50 €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Motor del agente. Modelo más económico con calidad suficiente para este caso de uso.</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On-premises Data Gateway</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0 €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Software gratuito en servidor existente. Imprescindible para conectar con BC on-prem.</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Power Automate (2 flows)</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SÍ</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~15 €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Solo para invocar codeunits BC (release + post de documentos). El resto va OData directo.</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Key Vault</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NO</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Fase 1: credenciales en variables de entorno cifradas del Container App. Aceptable para MVP interno.</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Redis Cache</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NO</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Estado de sesión en memoria del Container App. Suficiente con pocas réplicas.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Service Bus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NO</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Alertas BC por webhook HTTP directo al Container App. Sin cola de mensajes.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WhatsApp Business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NO</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Fase 2. Se activa como canal adicional del bot ya existente.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Monitor / App Insights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NO</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Fase 3. Logs básicos del Container App son suficientes en MVP.</w:t>
            </w:r>
          </w:p>
        </w:tc>
      </w:tr>
    </w:tbl>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r>
              <w:rPr>
                <w:rFonts w:ascii="Arial" w:cs="Arial" w:eastAsia="Arial" w:hAnsi="Arial"/>
                <w:b/>
                <w:bCs/>
                <w:color w:val="FFFFFF"/>
                <w:sz w:val="20"/>
                <w:szCs w:val="20"/>
              </w:rPr>
              <w:t xml:space="preserve">TOTAL FASE 1: ~65–80 €/mes  (el coste dominante es OpenAI, variable según volumen de conversaciones)</w:t>
            </w:r>
          </w:p>
        </w:tc>
      </w:tr>
    </w:tbl>
    <w:p>
      <w:pPr>
        <w:spacing w:before="120" w:after="0"/>
      </w:pPr>
    </w:p>
    <w:p>
      <w:pPr>
        <w:pStyle w:val="Heading2"/>
        <w:spacing w:before="200" w:after="100"/>
      </w:pPr>
      <w:r>
        <w:rPr>
          <w:rFonts w:ascii="Arial" w:cs="Arial" w:eastAsia="Arial" w:hAnsi="Arial"/>
          <w:b/>
          <w:bCs/>
          <w:color w:val="0078D4"/>
          <w:sz w:val="26"/>
          <w:szCs w:val="26"/>
        </w:rPr>
        <w:t xml:space="preserve">Qué puede hacer el agente desde el primer día — todos los perfiles</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200"/>
        <w:gridCol w:w="5906"/>
      </w:tblGrid>
      <w:tr>
        <w:tc>
          <w:tcPr>
            <w:tcW w:type="dxa" w:w="42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Capacidad funcional</w:t>
            </w:r>
          </w:p>
        </w:tc>
        <w:tc>
          <w:tcPr>
            <w:tcW w:type="dxa" w:w="5906"/>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Qué puede hacer el usuario</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Consultar estado de un recurso</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"¿Dónde está el portátil serie ABC123?" → estado, empleado asignado, fecha de asignación.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45A32"/>
                <w:sz w:val="18"/>
                <w:szCs w:val="18"/>
              </w:rPr>
              <w:t xml:space="preserve">Ver activos de un empleado</w:t>
            </w:r>
          </w:p>
        </w:tc>
        <w:tc>
          <w:tcPr>
            <w:tcW w:type="dxa" w:w="590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1C2833"/>
                <w:sz w:val="18"/>
                <w:szCs w:val="18"/>
              </w:rPr>
              <w:t xml:space="preserve">"¿Qué tiene asignado María López?" → lista completa de recursos activos con fechas.</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Buscar recursos disponibles</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"¿Hay portátiles disponibles?" → filtrado por categoría y estado Available en BC.</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45A32"/>
                <w:sz w:val="18"/>
                <w:szCs w:val="18"/>
              </w:rPr>
              <w:t xml:space="preserve">Consultar stock de licencias</w:t>
            </w:r>
          </w:p>
        </w:tc>
        <w:tc>
          <w:tcPr>
            <w:tcW w:type="dxa" w:w="590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1C2833"/>
                <w:sz w:val="18"/>
                <w:szCs w:val="18"/>
              </w:rPr>
              <w:t xml:space="preserve">"¿Cuántas licencias de M365 quedan libres?" → POOL vs ASIGNADAS en almacén RECURSOS.</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Estado de la flota de vehículos</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"¿Qué vehículos tienen la ITV próxima a vencer?" → lista con matrícula, fecha y días restantes.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45A32"/>
                <w:sz w:val="18"/>
                <w:szCs w:val="18"/>
              </w:rPr>
              <w:t xml:space="preserve">Asignar recursos — Delivery</w:t>
            </w:r>
          </w:p>
        </w:tc>
        <w:tc>
          <w:tcPr>
            <w:tcW w:type="dxa" w:w="590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1C2833"/>
                <w:sz w:val="18"/>
                <w:szCs w:val="18"/>
              </w:rPr>
              <w:t xml:space="preserve">"Asigna el portátil REC-00021 y licencia M365 a Pedro" → crea y contabiliza el documento Delivery en BC.</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Devolver recursos — Return</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"Registra la devolución de Ana Ruiz" → propuesta automática de líneas, condición por ítem, contabilización.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45A32"/>
                <w:sz w:val="18"/>
                <w:szCs w:val="18"/>
              </w:rPr>
              <w:t xml:space="preserve">Transferir recursos — Transfer</w:t>
            </w:r>
          </w:p>
        </w:tc>
        <w:tc>
          <w:tcPr>
            <w:tcW w:type="dxa" w:w="590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1C2833"/>
                <w:sz w:val="18"/>
                <w:szCs w:val="18"/>
              </w:rPr>
              <w:t xml:space="preserve">"Transfiere el móvil de Ana a Carlos" → documento Transfer, actualiza Assignment Entry.</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Crear incidencia de mantenimiento</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"La grúa REC-00045 está averiada" → crea Maintenance Record (Corrective) en BC con estado Planned.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45A32"/>
                <w:sz w:val="18"/>
                <w:szCs w:val="18"/>
              </w:rPr>
              <w:t xml:space="preserve">Historial de asignaciones</w:t>
            </w:r>
          </w:p>
        </w:tc>
        <w:tc>
          <w:tcPr>
            <w:tcW w:type="dxa" w:w="590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1C2833"/>
                <w:sz w:val="18"/>
                <w:szCs w:val="18"/>
              </w:rPr>
              <w:t xml:space="preserve">"¿Quién ha tenido asignado este vehículo?" → Assignment Entry histórica filtrada por recurso.</w:t>
            </w:r>
          </w:p>
        </w:tc>
      </w:tr>
      <w:tr>
        <w:tc>
          <w:tcPr>
            <w:tcW w:type="dxa" w:w="4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145A32"/>
                <w:sz w:val="18"/>
                <w:szCs w:val="18"/>
              </w:rPr>
              <w:t xml:space="preserve">Alertas proactivas básicas</w:t>
            </w:r>
          </w:p>
        </w:tc>
        <w:tc>
          <w:tcPr>
            <w:tcW w:type="dxa" w:w="59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18"/>
                <w:szCs w:val="18"/>
              </w:rPr>
              <w:t xml:space="preserve">BC envía webhook al Container App al ejecutar Job Queue diaria. El agente notifica en Teams.</w:t>
            </w:r>
          </w:p>
        </w:tc>
      </w:tr>
    </w:tbl>
    <w:p>
      <w:pPr>
        <w:spacing w:before="120" w:after="0"/>
      </w:pPr>
    </w:p>
    <w:p>
      <w:pPr>
        <w:pStyle w:val="Heading2"/>
        <w:spacing w:before="200" w:after="100"/>
      </w:pPr>
      <w:r>
        <w:rPr>
          <w:rFonts w:ascii="Arial" w:cs="Arial" w:eastAsia="Arial" w:hAnsi="Arial"/>
          <w:b/>
          <w:bCs/>
          <w:color w:val="0078D4"/>
          <w:sz w:val="26"/>
          <w:szCs w:val="26"/>
        </w:rPr>
        <w:t xml:space="preserve">Arquitectura técnica Fase 1</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USUARIO — Teams (bot nativo)</w:t>
            </w:r>
          </w:p>
          <w:p>
            <w:pPr>
              <w:spacing w:before="30" w:after="0"/>
              <w:jc w:val="center"/>
            </w:pPr>
            <w:r>
              <w:rPr>
                <w:rFonts w:ascii="Arial" w:cs="Arial" w:eastAsia="Arial" w:hAnsi="Arial"/>
                <w:color w:val="CCE5FF"/>
                <w:sz w:val="17"/>
                <w:szCs w:val="17"/>
              </w:rPr>
              <w:t xml:space="preserve">RRHH  ·  Compras  ·  Dirección  ·  Jefe de Obra (en oficina)</w:t>
            </w:r>
          </w:p>
        </w:tc>
      </w:tr>
    </w:tbl>
    <w:p>
      <w:pPr>
        <w:spacing w:before="30" w:after="30"/>
        <w:jc w:val="center"/>
      </w:pPr>
      <w:r>
        <w:rPr>
          <w:rFonts w:ascii="Arial" w:cs="Arial" w:eastAsia="Arial" w:hAnsi="Arial"/>
          <w:b/>
          <w:bCs/>
          <w:color w:val="0078D4"/>
          <w:sz w:val="17"/>
          <w:szCs w:val="17"/>
        </w:rPr>
        <w:t xml:space="preserve">↕  HTTPS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1E8449"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AZURE CONTAINER APP  —  Python / FastAPI + LangChain</w:t>
            </w:r>
          </w:p>
          <w:p>
            <w:pPr>
              <w:spacing w:before="30" w:after="0"/>
              <w:jc w:val="center"/>
            </w:pPr>
            <w:r>
              <w:rPr>
                <w:rFonts w:ascii="Arial" w:cs="Arial" w:eastAsia="Arial" w:hAnsi="Arial"/>
                <w:color w:val="CCE5FF"/>
                <w:sz w:val="17"/>
                <w:szCs w:val="17"/>
              </w:rPr>
              <w:t xml:space="preserve">Orquestador  |  Function Calling (12 tools)  |  Estado sesión en memoria  |  OData Client (httpx)  |  Webhook receiver</w:t>
            </w:r>
          </w:p>
        </w:tc>
      </w:tr>
    </w:tbl>
    <w:p>
      <w:pPr>
        <w:spacing w:before="30" w:after="30"/>
        <w:jc w:val="center"/>
      </w:pPr>
      <w:r>
        <w:rPr>
          <w:rFonts w:ascii="Arial" w:cs="Arial" w:eastAsia="Arial" w:hAnsi="Arial"/>
          <w:b/>
          <w:bCs/>
          <w:color w:val="0078D4"/>
          <w:sz w:val="17"/>
          <w:szCs w:val="17"/>
        </w:rPr>
        <w:t xml:space="preserve">↕ Azure OpenAI GPT-4o mini     ↕ Power Automate (2 flows — posting BC)     ↕ OData v4 directo (consultas)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2F3F4" w:val="clear"/>
            <w:tcMar>
              <w:top w:type="dxa" w:w="90"/>
              <w:left w:type="dxa" w:w="200"/>
              <w:bottom w:type="dxa" w:w="90"/>
              <w:right w:type="dxa" w:w="200"/>
            </w:tcMar>
          </w:tcPr>
          <w:p>
            <w:pPr>
              <w:jc w:val="center"/>
            </w:pPr>
            <w:r>
              <w:rPr>
                <w:rFonts w:ascii="Arial" w:cs="Arial" w:eastAsia="Arial" w:hAnsi="Arial"/>
                <w:b/>
                <w:bCs/>
                <w:color w:val="003A70"/>
                <w:sz w:val="19"/>
                <w:szCs w:val="19"/>
              </w:rPr>
              <w:t xml:space="preserve">On-premises Data Gateway  — túnel HTTPS entre Azure y la red corporativa</w:t>
            </w:r>
          </w:p>
        </w:tc>
      </w:tr>
    </w:tbl>
    <w:p>
      <w:pPr>
        <w:spacing w:before="30" w:after="30"/>
        <w:jc w:val="center"/>
      </w:pPr>
      <w:r>
        <w:rPr>
          <w:rFonts w:ascii="Arial" w:cs="Arial" w:eastAsia="Arial" w:hAnsi="Arial"/>
          <w:b/>
          <w:bCs/>
          <w:color w:val="0078D4"/>
          <w:sz w:val="17"/>
          <w:szCs w:val="17"/>
        </w:rPr>
        <w:t xml:space="preserve">↕  OData v4  /  Webhook HTTP saliente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BC ON-PREMISE  —  OData v4  |  Codeunits 50100–50105  |  Tablas 50100–50108  |  Job Queue diaria</w:t>
            </w:r>
          </w:p>
        </w:tc>
      </w:tr>
    </w:tbl>
    <w:p>
      <w:pPr>
        <w:spacing w:before="120" w:after="0"/>
      </w:pPr>
    </w:p>
    <w:p>
      <w:pPr>
        <w:pStyle w:val="Heading2"/>
        <w:spacing w:before="200" w:after="100"/>
      </w:pPr>
      <w:r>
        <w:rPr>
          <w:rFonts w:ascii="Arial" w:cs="Arial" w:eastAsia="Arial" w:hAnsi="Arial"/>
          <w:b/>
          <w:bCs/>
          <w:color w:val="0078D4"/>
          <w:sz w:val="26"/>
          <w:szCs w:val="26"/>
        </w:rPr>
        <w:t xml:space="preserve">Gestiones necesarias antes de arrancar Fase 1</w:t>
      </w:r>
    </w:p>
    <w:p>
      <w:pPr>
        <w:spacing w:before="60" w:after="0"/>
      </w:pPr>
    </w:p>
    <w:p>
      <w:pPr>
        <w:spacing w:before="160" w:after="80"/>
      </w:pPr>
      <w:r>
        <w:rPr>
          <w:rFonts w:ascii="Arial" w:cs="Arial" w:eastAsia="Arial" w:hAnsi="Arial"/>
          <w:b/>
          <w:bCs/>
          <w:color w:val="2E86C1"/>
          <w:sz w:val="22"/>
          <w:szCs w:val="22"/>
        </w:rPr>
        <w:t xml:space="preserve">En Azure — ~1 día de setup</w:t>
      </w:r>
    </w:p>
    <w:p>
      <w:pPr>
        <w:pStyle w:val="ListParagraph"/>
        <w:numPr>
          <w:ilvl w:val="0"/>
          <w:numId w:val="2"/>
        </w:numPr>
        <w:spacing w:before="50" w:after="50"/>
      </w:pPr>
      <w:r>
        <w:rPr>
          <w:rFonts w:ascii="Arial" w:cs="Arial" w:eastAsia="Arial" w:hAnsi="Arial"/>
          <w:color w:val="1C2833"/>
          <w:sz w:val="20"/>
          <w:szCs w:val="20"/>
        </w:rPr>
        <w:t xml:space="preserve">Crear Resource Group (ej: rg-agente-recursos).</w:t>
      </w:r>
    </w:p>
    <w:p>
      <w:pPr>
        <w:pStyle w:val="ListParagraph"/>
        <w:numPr>
          <w:ilvl w:val="0"/>
          <w:numId w:val="2"/>
        </w:numPr>
        <w:spacing w:before="50" w:after="50"/>
      </w:pPr>
      <w:r>
        <w:rPr>
          <w:rFonts w:ascii="Arial" w:cs="Arial" w:eastAsia="Arial" w:hAnsi="Arial"/>
          <w:color w:val="1C2833"/>
          <w:sz w:val="20"/>
          <w:szCs w:val="20"/>
        </w:rPr>
        <w:t xml:space="preserve">Crear Azure Container Registry y subir la imagen Docker inicial del orquestador.</w:t>
      </w:r>
    </w:p>
    <w:p>
      <w:pPr>
        <w:pStyle w:val="ListParagraph"/>
        <w:numPr>
          <w:ilvl w:val="0"/>
          <w:numId w:val="2"/>
        </w:numPr>
        <w:spacing w:before="50" w:after="50"/>
      </w:pPr>
      <w:r>
        <w:rPr>
          <w:rFonts w:ascii="Arial" w:cs="Arial" w:eastAsia="Arial" w:hAnsi="Arial"/>
          <w:color w:val="1C2833"/>
          <w:sz w:val="20"/>
          <w:szCs w:val="20"/>
        </w:rPr>
        <w:t xml:space="preserve">Crear Azure Container App (Consumption). Variables de entorno: OPENAI_ENDPOINT, OPENAI_KEY, BC_GATEWAY_URL, BC_ODATA_USER, BC_ODATA_PASSWORD, PA_POST_FLOW_URL, PA_RELEASE_FLOW_URL.</w:t>
      </w:r>
    </w:p>
    <w:p>
      <w:pPr>
        <w:pStyle w:val="ListParagraph"/>
        <w:numPr>
          <w:ilvl w:val="0"/>
          <w:numId w:val="2"/>
        </w:numPr>
        <w:spacing w:before="50" w:after="50"/>
      </w:pPr>
      <w:r>
        <w:rPr>
          <w:rFonts w:ascii="Arial" w:cs="Arial" w:eastAsia="Arial" w:hAnsi="Arial"/>
          <w:color w:val="1C2833"/>
          <w:sz w:val="20"/>
          <w:szCs w:val="20"/>
        </w:rPr>
        <w:t xml:space="preserve">Solicitar acceso a Azure OpenAI si no se tiene (formulario Microsoft, 1–3 días hábiles). Desplegar gpt-4o-mini.</w:t>
      </w:r>
    </w:p>
    <w:p>
      <w:pPr>
        <w:pStyle w:val="ListParagraph"/>
        <w:numPr>
          <w:ilvl w:val="0"/>
          <w:numId w:val="2"/>
        </w:numPr>
        <w:spacing w:before="50" w:after="50"/>
      </w:pPr>
      <w:r>
        <w:rPr>
          <w:rFonts w:ascii="Arial" w:cs="Arial" w:eastAsia="Arial" w:hAnsi="Arial"/>
          <w:color w:val="1C2833"/>
          <w:sz w:val="20"/>
          <w:szCs w:val="20"/>
        </w:rPr>
        <w:t xml:space="preserve">Crear 2 flows en Power Automate: release de documento BC + post (contabilización). Usar el conector BC on-premise certificado.</w:t>
      </w:r>
    </w:p>
    <w:p>
      <w:pPr>
        <w:spacing w:before="80" w:after="0"/>
      </w:pPr>
    </w:p>
    <w:p>
      <w:pPr>
        <w:spacing w:before="160" w:after="80"/>
      </w:pPr>
      <w:r>
        <w:rPr>
          <w:rFonts w:ascii="Arial" w:cs="Arial" w:eastAsia="Arial" w:hAnsi="Arial"/>
          <w:b/>
          <w:bCs/>
          <w:color w:val="2E86C1"/>
          <w:sz w:val="22"/>
          <w:szCs w:val="22"/>
        </w:rPr>
        <w:t xml:space="preserve">En BC On-Premise — requiere coordinación con el equipo BC</w:t>
      </w:r>
    </w:p>
    <w:p>
      <w:pPr>
        <w:pStyle w:val="ListParagraph"/>
        <w:numPr>
          <w:ilvl w:val="0"/>
          <w:numId w:val="2"/>
        </w:numPr>
        <w:spacing w:before="50" w:after="50"/>
      </w:pPr>
      <w:r>
        <w:rPr>
          <w:rFonts w:ascii="Arial" w:cs="Arial" w:eastAsia="Arial" w:hAnsi="Arial"/>
          <w:color w:val="1C2833"/>
          <w:sz w:val="20"/>
          <w:szCs w:val="20"/>
        </w:rPr>
        <w:t xml:space="preserve">Instalar el On-premises Data Gateway en un servidor Windows con acceso a BC. Verificar que aparece Online en Azure Portal.</w:t>
      </w:r>
    </w:p>
    <w:p>
      <w:pPr>
        <w:pStyle w:val="ListParagraph"/>
        <w:numPr>
          <w:ilvl w:val="0"/>
          <w:numId w:val="2"/>
        </w:numPr>
        <w:spacing w:before="50" w:after="50"/>
      </w:pPr>
      <w:r>
        <w:rPr>
          <w:rFonts w:ascii="Arial" w:cs="Arial" w:eastAsia="Arial" w:hAnsi="Arial"/>
          <w:color w:val="1C2833"/>
          <w:sz w:val="20"/>
          <w:szCs w:val="20"/>
        </w:rPr>
        <w:t xml:space="preserve">Publicar las páginas del módulo como Web Services OData v4 en BC: Assignment Headers, Assignment Entries, Resources, Insurance, Maintenance Records.</w:t>
      </w:r>
    </w:p>
    <w:p>
      <w:pPr>
        <w:pStyle w:val="ListParagraph"/>
        <w:numPr>
          <w:ilvl w:val="0"/>
          <w:numId w:val="2"/>
        </w:numPr>
        <w:spacing w:before="50" w:after="50"/>
      </w:pPr>
      <w:r>
        <w:rPr>
          <w:rFonts w:ascii="Arial" w:cs="Arial" w:eastAsia="Arial" w:hAnsi="Arial"/>
          <w:color w:val="1C2833"/>
          <w:sz w:val="20"/>
          <w:szCs w:val="20"/>
        </w:rPr>
        <w:t xml:space="preserve">Crear usuario de servicio SVC_AGENTE con permisos mínimos: lectura sobre todo el módulo, escritura solo sobre documentos de asignación y Maintenance Record.</w:t>
      </w:r>
    </w:p>
    <w:p>
      <w:pPr>
        <w:pStyle w:val="ListParagraph"/>
        <w:numPr>
          <w:ilvl w:val="0"/>
          <w:numId w:val="2"/>
        </w:numPr>
        <w:spacing w:before="50" w:after="50"/>
      </w:pPr>
      <w:r>
        <w:rPr>
          <w:rFonts w:ascii="Arial" w:cs="Arial" w:eastAsia="Arial" w:hAnsi="Arial"/>
          <w:color w:val="1C2833"/>
          <w:sz w:val="20"/>
          <w:szCs w:val="20"/>
        </w:rPr>
        <w:t xml:space="preserve">En codeunit 50102 (AL): añadir HttpClient para enviar webhook al Container App al finalizar la evaluación de alertas diaria.</w:t>
      </w:r>
    </w:p>
    <w:p>
      <w:pPr>
        <w:pStyle w:val="ListParagraph"/>
        <w:numPr>
          <w:ilvl w:val="0"/>
          <w:numId w:val="2"/>
        </w:numPr>
        <w:spacing w:before="50" w:after="50"/>
      </w:pPr>
      <w:r>
        <w:rPr>
          <w:rFonts w:ascii="Arial" w:cs="Arial" w:eastAsia="Arial" w:hAnsi="Arial"/>
          <w:color w:val="1C2833"/>
          <w:sz w:val="20"/>
          <w:szCs w:val="20"/>
        </w:rPr>
        <w:t xml:space="preserve">Verificar cada endpoint OData con Postman antes de iniciar el desarrollo de las tools.</w:t>
      </w:r>
    </w:p>
    <w:p>
      <w:pPr>
        <w:spacing w:before="80" w:after="0"/>
      </w:pPr>
    </w:p>
    <w:p>
      <w:pPr>
        <w:spacing w:before="160" w:after="80"/>
      </w:pPr>
      <w:r>
        <w:rPr>
          <w:rFonts w:ascii="Arial" w:cs="Arial" w:eastAsia="Arial" w:hAnsi="Arial"/>
          <w:b/>
          <w:bCs/>
          <w:color w:val="2E86C1"/>
          <w:sz w:val="22"/>
          <w:szCs w:val="22"/>
        </w:rPr>
        <w:t xml:space="preserve">Para el canal Azure Bot — ~3–4 horas</w:t>
      </w:r>
    </w:p>
    <w:p>
      <w:pPr>
        <w:pStyle w:val="ListParagraph"/>
        <w:numPr>
          <w:ilvl w:val="0"/>
          <w:numId w:val="2"/>
        </w:numPr>
        <w:spacing w:before="50" w:after="50"/>
      </w:pPr>
      <w:r>
        <w:rPr>
          <w:rFonts w:ascii="Arial" w:cs="Arial" w:eastAsia="Arial" w:hAnsi="Arial"/>
          <w:color w:val="1C2833"/>
          <w:sz w:val="20"/>
          <w:szCs w:val="20"/>
        </w:rPr>
        <w:t xml:space="preserve">Crear App Registration en Microsoft Entra ID: nombre del bot, permisos User.Read y offline_access.</w:t>
      </w:r>
    </w:p>
    <w:p>
      <w:pPr>
        <w:pStyle w:val="ListParagraph"/>
        <w:numPr>
          <w:ilvl w:val="0"/>
          <w:numId w:val="2"/>
        </w:numPr>
        <w:spacing w:before="50" w:after="50"/>
      </w:pPr>
      <w:r>
        <w:rPr>
          <w:rFonts w:ascii="Arial" w:cs="Arial" w:eastAsia="Arial" w:hAnsi="Arial"/>
          <w:color w:val="1C2833"/>
          <w:sz w:val="20"/>
          <w:szCs w:val="20"/>
        </w:rPr>
        <w:t xml:space="preserve">Crear el recurso Azure Bot Service (F0 gratuito) en el mismo Resource Group. Configurar el endpoint de mensajería apuntando al Container App: https://&lt;container-app-url&gt;/api/messages.</w:t>
      </w:r>
    </w:p>
    <w:p>
      <w:pPr>
        <w:pStyle w:val="ListParagraph"/>
        <w:numPr>
          <w:ilvl w:val="0"/>
          <w:numId w:val="2"/>
        </w:numPr>
        <w:spacing w:before="50" w:after="50"/>
      </w:pPr>
      <w:r>
        <w:rPr>
          <w:rFonts w:ascii="Arial" w:cs="Arial" w:eastAsia="Arial" w:hAnsi="Arial"/>
          <w:color w:val="1C2833"/>
          <w:sz w:val="20"/>
          <w:szCs w:val="20"/>
        </w:rPr>
        <w:t xml:space="preserve">Implementar el endpoint /api/messages en el Container App con el SDK de Bot Framework para Python (botbuilder-core). Unas 50 líneas de código que normalizan el mensaje entrante.</w:t>
      </w:r>
    </w:p>
    <w:p>
      <w:pPr>
        <w:pStyle w:val="ListParagraph"/>
        <w:numPr>
          <w:ilvl w:val="0"/>
          <w:numId w:val="2"/>
        </w:numPr>
        <w:spacing w:before="50" w:after="50"/>
      </w:pPr>
      <w:r>
        <w:rPr>
          <w:rFonts w:ascii="Arial" w:cs="Arial" w:eastAsia="Arial" w:hAnsi="Arial"/>
          <w:color w:val="1C2833"/>
          <w:sz w:val="20"/>
          <w:szCs w:val="20"/>
        </w:rPr>
        <w:t xml:space="preserve">Activar el canal Microsoft Teams en el portal del bot. El bot aparecerá en Teams en minutos.</w:t>
      </w:r>
    </w:p>
    <w:p>
      <w:pPr>
        <w:pStyle w:val="ListParagraph"/>
        <w:numPr>
          <w:ilvl w:val="0"/>
          <w:numId w:val="2"/>
        </w:numPr>
        <w:spacing w:before="50" w:after="50"/>
      </w:pPr>
      <w:r>
        <w:rPr>
          <w:rFonts w:ascii="Arial" w:cs="Arial" w:eastAsia="Arial" w:hAnsi="Arial"/>
          <w:color w:val="1C2833"/>
          <w:sz w:val="20"/>
          <w:szCs w:val="20"/>
        </w:rPr>
        <w:t xml:space="preserve">Aprobar la app en el catálogo corporativo de M365 si la empresa requiere aprobación de admin. En muchos casos el usuario puede añadirlo directamente.</w:t>
      </w:r>
    </w:p>
    <w:p>
      <w:pPr>
        <w:spacing w:before="160" w:after="0"/>
      </w:pPr>
    </w:p>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none" w:color="FFFFFF" w:sz="0"/>
              <w:left w:val="none" w:color="FFFFFF" w:sz="0"/>
              <w:bottom w:val="none" w:color="FFFFFF" w:sz="0"/>
              <w:right w:val="none" w:color="FFFFFF" w:sz="0"/>
            </w:tcBorders>
            <w:shd w:fill="25D366" w:val="clear"/>
            <w:tcMar>
              <w:top w:type="dxa" w:w="200"/>
              <w:left w:type="dxa" w:w="160"/>
              <w:bottom w:type="dxa" w:w="200"/>
              <w:right w:type="dxa" w:w="160"/>
            </w:tcMar>
            <w:vAlign w:val="center"/>
          </w:tcPr>
          <w:p>
            <w:pPr>
              <w:jc w:val="center"/>
            </w:pPr>
            <w:r>
              <w:rPr>
                <w:rFonts w:ascii="Arial" w:cs="Arial" w:eastAsia="Arial" w:hAnsi="Arial"/>
                <w:b/>
                <w:bCs/>
                <w:color w:val="FFFFFF"/>
                <w:sz w:val="16"/>
                <w:szCs w:val="16"/>
              </w:rPr>
              <w:t xml:space="preserve">FASE 2</w:t>
            </w:r>
          </w:p>
          <w:p>
            <w:pPr>
              <w:jc w:val="center"/>
            </w:pPr>
            <w:r>
              <w:rPr>
                <w:rFonts w:ascii="Arial" w:cs="Arial" w:eastAsia="Arial" w:hAnsi="Arial"/>
                <w:b/>
                <w:bCs/>
                <w:color w:val="FFFFFF"/>
                <w:sz w:val="28"/>
                <w:szCs w:val="28"/>
              </w:rPr>
              <w:t xml:space="preserve">WhatsApp + Robustez</w:t>
            </w:r>
          </w:p>
          <w:p>
            <w:pPr>
              <w:spacing w:before="40" w:after="0"/>
            </w:pPr>
          </w:p>
          <w:p>
            <w:pPr>
              <w:jc w:val="center"/>
            </w:pPr>
            <w:r>
              <w:rPr>
                <w:rFonts w:ascii="Arial" w:cs="Arial" w:eastAsia="Arial" w:hAnsi="Arial"/>
                <w:b/>
                <w:bCs/>
                <w:color w:val="FFFFFF"/>
                <w:sz w:val="22"/>
                <w:szCs w:val="22"/>
              </w:rPr>
              <w:t xml:space="preserve">~90 €/mes</w:t>
            </w:r>
          </w:p>
          <w:p>
            <w:pPr>
              <w:jc w:val="center"/>
            </w:pPr>
            <w:r>
              <w:rPr>
                <w:rFonts w:ascii="Arial" w:cs="Arial" w:eastAsia="Arial" w:hAnsi="Arial"/>
                <w:color w:val="FFFFFF"/>
                <w:sz w:val="18"/>
                <w:szCs w:val="18"/>
              </w:rPr>
              <w:t xml:space="preserve">3 semanas adicionales</w:t>
            </w:r>
          </w:p>
        </w:tc>
        <w:tc>
          <w:tcPr>
            <w:tcW w:type="dxa" w:w="8306"/>
            <w:tcBorders>
              <w:top w:val="single" w:color="25D366" w:sz="1"/>
              <w:left w:val="single" w:color="25D366" w:sz="1"/>
              <w:bottom w:val="single" w:color="25D366" w:sz="1"/>
              <w:right w:val="single" w:color="25D366" w:sz="1"/>
            </w:tcBorders>
            <w:shd w:fill="FFFFFF" w:val="clear"/>
            <w:tcMar>
              <w:top w:type="dxa" w:w="160"/>
              <w:left w:type="dxa" w:w="200"/>
              <w:bottom w:type="dxa" w:w="160"/>
              <w:right w:type="dxa" w:w="200"/>
            </w:tcMar>
          </w:tcPr>
          <w:p>
            <w:r>
              <w:rPr>
                <w:rFonts w:ascii="Arial" w:cs="Arial" w:eastAsia="Arial" w:hAnsi="Arial"/>
                <w:b/>
                <w:bCs/>
                <w:color w:val="25D366"/>
                <w:sz w:val="22"/>
                <w:szCs w:val="22"/>
              </w:rPr>
              <w:t xml:space="preserve">El Jefe de Obra opera desde el móvil en campo. Los secretos están seguros. Las alertas son automáticas.</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b w:val="false"/>
                <w:bCs w:val="false"/>
                <w:color w:val="145A32"/>
                <w:sz w:val="20"/>
                <w:szCs w:val="20"/>
              </w:rPr>
              <w:t xml:space="preserve">Argumento para la empresa: "Los Jefes de Obra no están en el ordenador. Están en la obra. Con WhatsApp pueden consultar la ITV del camión, reportar una avería o asignar una herramienta desde el móvil, exactamente igual que si lo hicieran desde Teams en la oficina."</w:t>
            </w:r>
          </w:p>
        </w:tc>
      </w:tr>
    </w:tbl>
    <w:p>
      <w:pPr>
        <w:spacing w:before="120" w:after="0"/>
      </w:pPr>
    </w:p>
    <w:p>
      <w:pPr>
        <w:pStyle w:val="Heading2"/>
        <w:spacing w:before="200" w:after="100"/>
      </w:pPr>
      <w:r>
        <w:rPr>
          <w:rFonts w:ascii="Arial" w:cs="Arial" w:eastAsia="Arial" w:hAnsi="Arial"/>
          <w:b/>
          <w:bCs/>
          <w:color w:val="0078D4"/>
          <w:sz w:val="26"/>
          <w:szCs w:val="26"/>
        </w:rPr>
        <w:t xml:space="preserve">Canal Fase 2: WhatsApp Business — Jefes de Obra en campo</w:t>
      </w:r>
    </w:p>
    <w:p>
      <w:pPr>
        <w:spacing w:before="60" w:after="0"/>
      </w:pPr>
    </w:p>
    <w:p>
      <w:pPr>
        <w:spacing w:before="60" w:after="60"/>
      </w:pPr>
      <w:r>
        <w:rPr>
          <w:rFonts w:ascii="Arial" w:cs="Arial" w:eastAsia="Arial" w:hAnsi="Arial"/>
          <w:color w:val="1C2833"/>
          <w:sz w:val="20"/>
          <w:szCs w:val="20"/>
        </w:rPr>
        <w:t xml:space="preserve">La clave de diseño es que Azure Bot Service actúa como adaptador de canal universal. En Fase 1 tiene activado el canal Teams. En Fase 2 se activa WhatsApp como canal adicional sobre el mismo bot ya registrado. El orquestador Python no cambia ni una línea. El bot normaliza el mensaje entrante independientemente de si viene de Teams o de WhatsApp y lo entrega al Container App exactamente igual.</w:t>
      </w:r>
    </w:p>
    <w:p>
      <w:pPr>
        <w:spacing w:before="80" w:after="0"/>
      </w:pPr>
    </w:p>
    <w:p>
      <w:pPr>
        <w:spacing w:before="160" w:after="80"/>
      </w:pPr>
      <w:r>
        <w:rPr>
          <w:rFonts w:ascii="Arial" w:cs="Arial" w:eastAsia="Arial" w:hAnsi="Arial"/>
          <w:b/>
          <w:bCs/>
          <w:color w:val="2E86C1"/>
          <w:sz w:val="22"/>
          <w:szCs w:val="22"/>
        </w:rPr>
        <w:t xml:space="preserve">Opciones de canal WhatsApp — decisión pendiente</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5306"/>
      </w:tblGrid>
      <w:tr>
        <w:tc>
          <w:tcPr>
            <w:tcW w:type="dxa" w:w="2000"/>
            <w:tcBorders>
              <w:top w:val="single" w:color="25D366" w:sz="1"/>
              <w:left w:val="single" w:color="25D366" w:sz="1"/>
              <w:bottom w:val="single" w:color="25D366" w:sz="1"/>
              <w:right w:val="single" w:color="25D366" w:sz="1"/>
            </w:tcBorders>
            <w:shd w:fill="25D366" w:val="clear"/>
            <w:tcMar>
              <w:top w:type="dxa" w:w="80"/>
              <w:left w:type="dxa" w:w="100"/>
              <w:bottom w:type="dxa" w:w="80"/>
              <w:right w:type="dxa" w:w="100"/>
            </w:tcMar>
          </w:tcPr>
          <w:p>
            <w:r>
              <w:rPr>
                <w:rFonts w:ascii="Arial" w:cs="Arial" w:eastAsia="Arial" w:hAnsi="Arial"/>
                <w:b/>
                <w:bCs/>
                <w:color w:val="FFFFFF"/>
                <w:sz w:val="18"/>
                <w:szCs w:val="18"/>
              </w:rPr>
              <w:t xml:space="preserve">Opción</w:t>
            </w:r>
          </w:p>
        </w:tc>
        <w:tc>
          <w:tcPr>
            <w:tcW w:type="dxa" w:w="1400"/>
            <w:tcBorders>
              <w:top w:val="single" w:color="25D366" w:sz="1"/>
              <w:left w:val="single" w:color="25D366" w:sz="1"/>
              <w:bottom w:val="single" w:color="25D366" w:sz="1"/>
              <w:right w:val="single" w:color="25D366" w:sz="1"/>
            </w:tcBorders>
            <w:shd w:fill="25D366" w:val="clear"/>
            <w:tcMar>
              <w:top w:type="dxa" w:w="80"/>
              <w:left w:type="dxa" w:w="100"/>
              <w:bottom w:type="dxa" w:w="80"/>
              <w:right w:type="dxa" w:w="100"/>
            </w:tcMar>
          </w:tcPr>
          <w:p>
            <w:r>
              <w:rPr>
                <w:rFonts w:ascii="Arial" w:cs="Arial" w:eastAsia="Arial" w:hAnsi="Arial"/>
                <w:b/>
                <w:bCs/>
                <w:color w:val="FFFFFF"/>
                <w:sz w:val="18"/>
                <w:szCs w:val="18"/>
              </w:rPr>
              <w:t xml:space="preserve">Coste/msg</w:t>
            </w:r>
          </w:p>
        </w:tc>
        <w:tc>
          <w:tcPr>
            <w:tcW w:type="dxa" w:w="1400"/>
            <w:tcBorders>
              <w:top w:val="single" w:color="25D366" w:sz="1"/>
              <w:left w:val="single" w:color="25D366" w:sz="1"/>
              <w:bottom w:val="single" w:color="25D366" w:sz="1"/>
              <w:right w:val="single" w:color="25D366" w:sz="1"/>
            </w:tcBorders>
            <w:shd w:fill="25D366" w:val="clear"/>
            <w:tcMar>
              <w:top w:type="dxa" w:w="80"/>
              <w:left w:type="dxa" w:w="100"/>
              <w:bottom w:type="dxa" w:w="80"/>
              <w:right w:type="dxa" w:w="100"/>
            </w:tcMar>
          </w:tcPr>
          <w:p>
            <w:r>
              <w:rPr>
                <w:rFonts w:ascii="Arial" w:cs="Arial" w:eastAsia="Arial" w:hAnsi="Arial"/>
                <w:b/>
                <w:bCs/>
                <w:color w:val="FFFFFF"/>
                <w:sz w:val="18"/>
                <w:szCs w:val="18"/>
              </w:rPr>
              <w:t xml:space="preserve">Setup</w:t>
            </w:r>
          </w:p>
        </w:tc>
        <w:tc>
          <w:tcPr>
            <w:tcW w:type="dxa" w:w="5306"/>
            <w:tcBorders>
              <w:top w:val="single" w:color="25D366" w:sz="1"/>
              <w:left w:val="single" w:color="25D366" w:sz="1"/>
              <w:bottom w:val="single" w:color="25D366" w:sz="1"/>
              <w:right w:val="single" w:color="25D366" w:sz="1"/>
            </w:tcBorders>
            <w:shd w:fill="25D366" w:val="clear"/>
            <w:tcMar>
              <w:top w:type="dxa" w:w="80"/>
              <w:left w:type="dxa" w:w="100"/>
              <w:bottom w:type="dxa" w:w="80"/>
              <w:right w:type="dxa" w:w="100"/>
            </w:tcMar>
          </w:tcPr>
          <w:p>
            <w:r>
              <w:rPr>
                <w:rFonts w:ascii="Arial" w:cs="Arial" w:eastAsia="Arial" w:hAnsi="Arial"/>
                <w:b/>
                <w:bCs/>
                <w:color w:val="FFFFFF"/>
                <w:sz w:val="18"/>
                <w:szCs w:val="18"/>
              </w:rPr>
              <w:t xml:space="preserve">Cuándo elegirla</w:t>
            </w:r>
          </w:p>
        </w:tc>
      </w:tr>
      <w:tr>
        <w:tc>
          <w:tcPr>
            <w:tcW w:type="dxa" w:w="2000"/>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b/>
                <w:bCs/>
                <w:color w:val="145A32"/>
                <w:sz w:val="17"/>
                <w:szCs w:val="17"/>
              </w:rPr>
              <w:t xml:space="preserve">Twilio for WhatsApp</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color w:val="1C2833"/>
                <w:sz w:val="17"/>
                <w:szCs w:val="17"/>
              </w:rPr>
              <w:t xml:space="preserve">~0.005 $</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color w:val="1C2833"/>
                <w:sz w:val="17"/>
                <w:szCs w:val="17"/>
              </w:rPr>
              <w:t xml:space="preserve">1–2 días (sandbox inmediato)</w:t>
            </w:r>
          </w:p>
        </w:tc>
        <w:tc>
          <w:tcPr>
            <w:tcW w:type="dxa" w:w="5306"/>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color w:val="1C2833"/>
                <w:sz w:val="17"/>
                <w:szCs w:val="17"/>
              </w:rPr>
              <w:t xml:space="preserve">Recomendada para Fase 2. Sandbox de desarrollo funciona en horas sin aprobación de Meta. Para producción se aprueba el número (1–2 semanas). Añade ~10 €/mes. Muy documentado, fácil integración con Python.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45A32"/>
                <w:sz w:val="17"/>
                <w:szCs w:val="17"/>
              </w:rPr>
              <w:t xml:space="preserve">Azure Communication Services (ACS)</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7"/>
                <w:szCs w:val="17"/>
              </w:rPr>
              <w:t xml:space="preserve">~0.005 $</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7"/>
                <w:szCs w:val="17"/>
              </w:rPr>
              <w:t xml:space="preserve">1 semana</w:t>
            </w:r>
          </w:p>
        </w:tc>
        <w:tc>
          <w:tcPr>
            <w:tcW w:type="dxa" w:w="53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7"/>
                <w:szCs w:val="17"/>
              </w:rPr>
              <w:t xml:space="preserve">Opción ideal si se quiere todo en Azure. Mismo ecosistema, Managed Identity, mismo portal. El proceso de aprobación del número con Meta tarda igual que Twilio en producción.</w:t>
            </w:r>
          </w:p>
        </w:tc>
      </w:tr>
      <w:tr>
        <w:tc>
          <w:tcPr>
            <w:tcW w:type="dxa" w:w="2000"/>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b/>
                <w:bCs/>
                <w:color w:val="145A32"/>
                <w:sz w:val="17"/>
                <w:szCs w:val="17"/>
              </w:rPr>
              <w:t xml:space="preserve">WhatsApp Business API directa (Meta)</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color w:val="1C2833"/>
                <w:sz w:val="17"/>
                <w:szCs w:val="17"/>
              </w:rPr>
              <w:t xml:space="preserve">0 $ (solo tarifas Meta)</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color w:val="1C2833"/>
                <w:sz w:val="17"/>
                <w:szCs w:val="17"/>
              </w:rPr>
              <w:t xml:space="preserve">3–4 semanas</w:t>
            </w:r>
          </w:p>
        </w:tc>
        <w:tc>
          <w:tcPr>
            <w:tcW w:type="dxa" w:w="5306"/>
            <w:tcBorders>
              <w:top w:val="single" w:color="D5D8DC" w:sz="1"/>
              <w:left w:val="single" w:color="D5D8DC" w:sz="1"/>
              <w:bottom w:val="single" w:color="D5D8DC" w:sz="1"/>
              <w:right w:val="single" w:color="D5D8DC" w:sz="1"/>
            </w:tcBorders>
            <w:shd w:fill="D5F5E3" w:val="clear"/>
            <w:tcMar>
              <w:top w:type="dxa" w:w="80"/>
              <w:left w:type="dxa" w:w="100"/>
              <w:bottom w:type="dxa" w:w="80"/>
              <w:right w:type="dxa" w:w="100"/>
            </w:tcMar>
          </w:tcPr>
          <w:p>
            <w:r>
              <w:rPr>
                <w:rFonts w:ascii="Arial" w:cs="Arial" w:eastAsia="Arial" w:hAnsi="Arial"/>
                <w:color w:val="1C2833"/>
                <w:sz w:val="17"/>
                <w:szCs w:val="17"/>
              </w:rPr>
              <w:t xml:space="preserve">Máximo control, sin intermediario. Pero el proceso de verificación de empresa con Meta es el más largo. No recomendada para Fase 2 por el tiempo de espera.</w:t>
            </w:r>
          </w:p>
        </w:tc>
      </w:tr>
    </w:tbl>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b w:val="false"/>
                <w:bCs w:val="false"/>
                <w:color w:val="B7950B"/>
                <w:sz w:val="20"/>
                <w:szCs w:val="20"/>
              </w:rPr>
              <w:t xml:space="preserve">Decisión pendiente. Se recomienda Twilio para Fase 2 por velocidad de arranque, con migración a ACS en Fase 4 si se quiere unificar todo en Azure. El código del orquestador cambia menos de 50 líneas entre un proveedor y otro.</w:t>
            </w:r>
          </w:p>
        </w:tc>
      </w:tr>
    </w:tbl>
    <w:p>
      <w:pPr>
        <w:spacing w:before="120" w:after="0"/>
      </w:pPr>
    </w:p>
    <w:p>
      <w:pPr>
        <w:pStyle w:val="Heading2"/>
        <w:spacing w:before="200" w:after="100"/>
      </w:pPr>
      <w:r>
        <w:rPr>
          <w:rFonts w:ascii="Arial" w:cs="Arial" w:eastAsia="Arial" w:hAnsi="Arial"/>
          <w:b/>
          <w:bCs/>
          <w:color w:val="0078D4"/>
          <w:sz w:val="26"/>
          <w:szCs w:val="26"/>
        </w:rPr>
        <w:t xml:space="preserve">Qué añade la Fase 2</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706"/>
      </w:tblGrid>
      <w:tr>
        <w:tc>
          <w:tcPr>
            <w:tcW w:type="dxa" w:w="36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Componente / Recurso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¿Incluido?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Coste/mes</w:t>
            </w:r>
          </w:p>
        </w:tc>
        <w:tc>
          <w:tcPr>
            <w:tcW w:type="dxa" w:w="3706"/>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Justificación</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WhatsApp — canal adicional en Azure Bot</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~5–10 €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Se activa el canal WhatsApp en el bot ya existente vía ACS o Twilio. El orquestador no cambia nada.</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Key Vault</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~5 €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Las credenciales salen de las variables de entorno. Managed Identity. Rotación sin redespliegue.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Alertas proactivas mejoradas</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0 € extra</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Las alertas BC llegan a Teams (perfiles de oficina) y a WhatsApp (Jefes de Obra). Enrutamiento por perfil.</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Persistencia de sesión mejorada</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0 € extra</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Almacenamiento ligero de historial en el Container App. Sin Redis todavía.</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Redis Cache</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AÚN NO</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Solo si hay más de 2–3 réplicas simultáneas activas. No esperado en este volumen.</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Service Bus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AÚN NO</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El webhook directo BC → Container App sigue siendo suficiente.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Bot Teams nativo</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AÚN NO</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Fase 4.</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App Insights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AÚN NO</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Fase 3.</w:t>
            </w:r>
          </w:p>
        </w:tc>
      </w:tr>
    </w:tbl>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25D366" w:val="clear"/>
            <w:tcMar>
              <w:top w:type="dxa" w:w="120"/>
              <w:left w:type="dxa" w:w="200"/>
              <w:bottom w:type="dxa" w:w="120"/>
              <w:right w:type="dxa" w:w="200"/>
            </w:tcMar>
          </w:tcPr>
          <w:p>
            <w:r>
              <w:rPr>
                <w:rFonts w:ascii="Arial" w:cs="Arial" w:eastAsia="Arial" w:hAnsi="Arial"/>
                <w:b/>
                <w:bCs/>
                <w:color w:val="FFFFFF"/>
                <w:sz w:val="20"/>
                <w:szCs w:val="20"/>
              </w:rPr>
              <w:t xml:space="preserve">TOTAL FASE 2: ~90 €/mes  (+25 € respecto a Fase 1: Twilio ~10 € + Key Vault ~5 € + Container App min-replica 1 ~10 €)</w:t>
            </w:r>
          </w:p>
        </w:tc>
      </w:tr>
    </w:tbl>
    <w:p>
      <w:pPr>
        <w:spacing w:before="120" w:after="0"/>
      </w:pPr>
    </w:p>
    <w:p>
      <w:pPr>
        <w:pStyle w:val="Heading2"/>
        <w:spacing w:before="200" w:after="100"/>
      </w:pPr>
      <w:r>
        <w:rPr>
          <w:rFonts w:ascii="Arial" w:cs="Arial" w:eastAsia="Arial" w:hAnsi="Arial"/>
          <w:b/>
          <w:bCs/>
          <w:color w:val="0078D4"/>
          <w:sz w:val="26"/>
          <w:szCs w:val="26"/>
        </w:rPr>
        <w:t xml:space="preserve">Arquitectura técnica Fase 2 — dos canales, un orquestador</w:t>
      </w:r>
    </w:p>
    <w:p>
      <w:pPr>
        <w:spacing w:before="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33"/>
        <w:gridCol w:w="40"/>
        <w:gridCol w:w="5033"/>
      </w:tblGrid>
      <w:tr>
        <w:tc>
          <w:tcPr>
            <w:tcW w:type="dxa" w:w="5033"/>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Azure Bot</w:t>
                  </w:r>
                </w:p>
                <w:p>
                  <w:pPr>
                    <w:spacing w:before="30" w:after="0"/>
                    <w:jc w:val="center"/>
                  </w:pPr>
                  <w:r>
                    <w:rPr>
                      <w:rFonts w:ascii="Arial" w:cs="Arial" w:eastAsia="Arial" w:hAnsi="Arial"/>
                      <w:color w:val="CCE5FF"/>
                      <w:sz w:val="17"/>
                      <w:szCs w:val="17"/>
                    </w:rPr>
                    <w:t xml:space="preserve">RRHH · Compras · Dirección · Obra (oficina)</w:t>
                  </w:r>
                </w:p>
              </w:tc>
            </w:tr>
          </w:tbl>
          <w:p/>
        </w:tc>
        <w:tc>
          <w:tcPr>
            <w:tcW w:type="dxa" w:w="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pPr>
          </w:p>
        </w:tc>
        <w:tc>
          <w:tcPr>
            <w:tcW w:type="dxa" w:w="5033"/>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25D366"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WhatsApp Business</w:t>
                  </w:r>
                </w:p>
                <w:p>
                  <w:pPr>
                    <w:spacing w:before="30" w:after="0"/>
                    <w:jc w:val="center"/>
                  </w:pPr>
                  <w:r>
                    <w:rPr>
                      <w:rFonts w:ascii="Arial" w:cs="Arial" w:eastAsia="Arial" w:hAnsi="Arial"/>
                      <w:color w:val="CCE5FF"/>
                      <w:sz w:val="17"/>
                      <w:szCs w:val="17"/>
                    </w:rPr>
                    <w:t xml:space="preserve">Jefes de Obra en campo</w:t>
                  </w:r>
                </w:p>
              </w:tc>
            </w:tr>
          </w:tbl>
          <w:p/>
        </w:tc>
      </w:tr>
    </w:tbl>
    <w:p>
      <w:pPr>
        <w:spacing w:before="30" w:after="30"/>
        <w:jc w:val="center"/>
      </w:pPr>
      <w:r>
        <w:rPr>
          <w:rFonts w:ascii="Arial" w:cs="Arial" w:eastAsia="Arial" w:hAnsi="Arial"/>
          <w:b/>
          <w:bCs/>
          <w:color w:val="0078D4"/>
          <w:sz w:val="17"/>
          <w:szCs w:val="17"/>
        </w:rPr>
        <w:t xml:space="preserve">↓  HTTPS  ↓                                                              ↓  Webhook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1E8449"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AZURE CONTAINER APP  —  Channel Adapter  |  Orquestador  |  Function Calling  |  OData Client</w:t>
            </w:r>
          </w:p>
          <w:p>
            <w:pPr>
              <w:spacing w:before="30" w:after="0"/>
              <w:jc w:val="center"/>
            </w:pPr>
            <w:r>
              <w:rPr>
                <w:rFonts w:ascii="Arial" w:cs="Arial" w:eastAsia="Arial" w:hAnsi="Arial"/>
                <w:color w:val="CCE5FF"/>
                <w:sz w:val="17"/>
                <w:szCs w:val="17"/>
              </w:rPr>
              <w:t xml:space="preserve">Misma lógica para ambos canales. El adaptador normaliza el mensaje entrante independientemente del origen.</w:t>
            </w:r>
          </w:p>
        </w:tc>
      </w:tr>
    </w:tbl>
    <w:p>
      <w:pPr>
        <w:spacing w:before="30" w:after="30"/>
        <w:jc w:val="center"/>
      </w:pPr>
      <w:r>
        <w:rPr>
          <w:rFonts w:ascii="Arial" w:cs="Arial" w:eastAsia="Arial" w:hAnsi="Arial"/>
          <w:b/>
          <w:bCs/>
          <w:color w:val="0078D4"/>
          <w:sz w:val="17"/>
          <w:szCs w:val="17"/>
        </w:rPr>
        <w:t xml:space="preserve">↕ Azure OpenAI     ↕ Key Vault     ↕ Power Automate     ↕ OData directo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2F3F4" w:val="clear"/>
            <w:tcMar>
              <w:top w:type="dxa" w:w="90"/>
              <w:left w:type="dxa" w:w="200"/>
              <w:bottom w:type="dxa" w:w="90"/>
              <w:right w:type="dxa" w:w="200"/>
            </w:tcMar>
          </w:tcPr>
          <w:p>
            <w:pPr>
              <w:jc w:val="center"/>
            </w:pPr>
            <w:r>
              <w:rPr>
                <w:rFonts w:ascii="Arial" w:cs="Arial" w:eastAsia="Arial" w:hAnsi="Arial"/>
                <w:b/>
                <w:bCs/>
                <w:color w:val="003A70"/>
                <w:sz w:val="19"/>
                <w:szCs w:val="19"/>
              </w:rPr>
              <w:t xml:space="preserve">On-premises Data Gateway</w:t>
            </w:r>
          </w:p>
        </w:tc>
      </w:tr>
    </w:tbl>
    <w:p>
      <w:pPr>
        <w:spacing w:before="30" w:after="30"/>
        <w:jc w:val="center"/>
      </w:pPr>
      <w:r>
        <w:rPr>
          <w:rFonts w:ascii="Arial" w:cs="Arial" w:eastAsia="Arial" w:hAnsi="Arial"/>
          <w:b/>
          <w:bCs/>
          <w:color w:val="0078D4"/>
          <w:sz w:val="17"/>
          <w:szCs w:val="17"/>
        </w:rPr>
        <w:t xml:space="preserv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90"/>
              <w:left w:type="dxa" w:w="200"/>
              <w:bottom w:type="dxa" w:w="90"/>
              <w:right w:type="dxa" w:w="200"/>
            </w:tcMar>
          </w:tcPr>
          <w:p>
            <w:pPr>
              <w:jc w:val="center"/>
            </w:pPr>
            <w:r>
              <w:rPr>
                <w:rFonts w:ascii="Arial" w:cs="Arial" w:eastAsia="Arial" w:hAnsi="Arial"/>
                <w:b/>
                <w:bCs/>
                <w:color w:val="FFFFFF"/>
                <w:sz w:val="19"/>
                <w:szCs w:val="19"/>
              </w:rPr>
              <w:t xml:space="preserve">BC ON-PREMISE</w:t>
            </w:r>
          </w:p>
        </w:tc>
      </w:tr>
    </w:tbl>
    <w:p>
      <w:pPr>
        <w:spacing w:before="160" w:after="0"/>
      </w:pPr>
    </w:p>
    <w:p>
      <w:r>
        <w:br w:type="pag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none" w:color="FFFFFF" w:sz="0"/>
              <w:left w:val="none" w:color="FFFFFF" w:sz="0"/>
              <w:bottom w:val="none" w:color="FFFFFF" w:sz="0"/>
              <w:right w:val="none" w:color="FFFFFF" w:sz="0"/>
            </w:tcBorders>
            <w:shd w:fill="6C3483" w:val="clear"/>
            <w:tcMar>
              <w:top w:type="dxa" w:w="200"/>
              <w:left w:type="dxa" w:w="160"/>
              <w:bottom w:type="dxa" w:w="200"/>
              <w:right w:type="dxa" w:w="160"/>
            </w:tcMar>
            <w:vAlign w:val="center"/>
          </w:tcPr>
          <w:p>
            <w:pPr>
              <w:jc w:val="center"/>
            </w:pPr>
            <w:r>
              <w:rPr>
                <w:rFonts w:ascii="Arial" w:cs="Arial" w:eastAsia="Arial" w:hAnsi="Arial"/>
                <w:b/>
                <w:bCs/>
                <w:color w:val="FFFFFF"/>
                <w:sz w:val="16"/>
                <w:szCs w:val="16"/>
              </w:rPr>
              <w:t xml:space="preserve">FASE 3</w:t>
            </w:r>
          </w:p>
          <w:p>
            <w:pPr>
              <w:jc w:val="center"/>
            </w:pPr>
            <w:r>
              <w:rPr>
                <w:rFonts w:ascii="Arial" w:cs="Arial" w:eastAsia="Arial" w:hAnsi="Arial"/>
                <w:b/>
                <w:bCs/>
                <w:color w:val="FFFFFF"/>
                <w:sz w:val="28"/>
                <w:szCs w:val="28"/>
              </w:rPr>
              <w:t xml:space="preserve">Observabilidad</w:t>
            </w:r>
          </w:p>
          <w:p>
            <w:pPr>
              <w:spacing w:before="40" w:after="0"/>
            </w:pPr>
          </w:p>
          <w:p>
            <w:pPr>
              <w:jc w:val="center"/>
            </w:pPr>
            <w:r>
              <w:rPr>
                <w:rFonts w:ascii="Arial" w:cs="Arial" w:eastAsia="Arial" w:hAnsi="Arial"/>
                <w:b/>
                <w:bCs/>
                <w:color w:val="FFFFFF"/>
                <w:sz w:val="22"/>
                <w:szCs w:val="22"/>
              </w:rPr>
              <w:t xml:space="preserve">~120 €/mes</w:t>
            </w:r>
          </w:p>
          <w:p>
            <w:pPr>
              <w:jc w:val="center"/>
            </w:pPr>
            <w:r>
              <w:rPr>
                <w:rFonts w:ascii="Arial" w:cs="Arial" w:eastAsia="Arial" w:hAnsi="Arial"/>
                <w:color w:val="FFFFFF"/>
                <w:sz w:val="18"/>
                <w:szCs w:val="18"/>
              </w:rPr>
              <w:t xml:space="preserve">2 semanas adicionales</w:t>
            </w:r>
          </w:p>
        </w:tc>
        <w:tc>
          <w:tcPr>
            <w:tcW w:type="dxa" w:w="8306"/>
            <w:tcBorders>
              <w:top w:val="single" w:color="6C3483" w:sz="1"/>
              <w:left w:val="single" w:color="6C3483" w:sz="1"/>
              <w:bottom w:val="single" w:color="6C3483" w:sz="1"/>
              <w:right w:val="single" w:color="6C3483" w:sz="1"/>
            </w:tcBorders>
            <w:shd w:fill="FFFFFF" w:val="clear"/>
            <w:tcMar>
              <w:top w:type="dxa" w:w="160"/>
              <w:left w:type="dxa" w:w="200"/>
              <w:bottom w:type="dxa" w:w="160"/>
              <w:right w:type="dxa" w:w="200"/>
            </w:tcMar>
          </w:tcPr>
          <w:p>
            <w:r>
              <w:rPr>
                <w:rFonts w:ascii="Arial" w:cs="Arial" w:eastAsia="Arial" w:hAnsi="Arial"/>
                <w:b/>
                <w:bCs/>
                <w:color w:val="6C3483"/>
                <w:sz w:val="22"/>
                <w:szCs w:val="22"/>
              </w:rPr>
              <w:t xml:space="preserve">Sabes exactamente qué hace el agente, cuánto tarda y qué falla — antes de que lo reporte un usuario.</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r>
              <w:rPr>
                <w:rFonts w:ascii="Arial" w:cs="Arial" w:eastAsia="Arial" w:hAnsi="Arial"/>
                <w:b w:val="false"/>
                <w:bCs w:val="false"/>
                <w:color w:val="6C3483"/>
                <w:sz w:val="20"/>
                <w:szCs w:val="20"/>
              </w:rPr>
              <w:t xml:space="preserve">Argumento para la empresa: "El agente lleva semanas en producción. Ahora necesitamos saber cuánto cuesta realmente cada mes, qué consultas son las más frecuentes, si hay errores silenciosos y cuánto tarda cada operación. Eso vale 30 € al mes."</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706"/>
      </w:tblGrid>
      <w:tr>
        <w:tc>
          <w:tcPr>
            <w:tcW w:type="dxa" w:w="36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Componente / Recurso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¿Incluido?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Coste/mes</w:t>
            </w:r>
          </w:p>
        </w:tc>
        <w:tc>
          <w:tcPr>
            <w:tcW w:type="dxa" w:w="3706"/>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Justificación</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Azure Application Insights</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~20–30 €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Latencia por tool, tokens consumidos por tipo de consulta, tasa de error OData, sesiones activas por canal (Teams vs WhatsApp).</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Monitor — alertas operativas</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~5 €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Alerta si el Container App cae, si el gateway se desconecta o si el error rate supera umbral configurable.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Dashboard operativo</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0 € extra</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Azure Workbook con métricas: coste OpenAI diario, consultas por perfil y canal, alertas BC generadas vs. gestionadas, latencia media.</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Redis / Service Bus / Bot Teams</w:t>
            </w:r>
          </w:p>
        </w:tc>
        <w:tc>
          <w:tcPr>
            <w:tcW w:type="dxa" w:w="14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jc w:val="center"/>
            </w:pPr>
            <w:r>
              <w:rPr>
                <w:rFonts w:ascii="Arial" w:cs="Arial" w:eastAsia="Arial" w:hAnsi="Arial"/>
                <w:b/>
                <w:bCs/>
                <w:color w:val="C0392B"/>
                <w:sz w:val="17"/>
                <w:szCs w:val="17"/>
              </w:rPr>
              <w:t xml:space="preserve">❌ AÚN NO</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Solo si App Insights muestra que realmente son necesarios. Los datos deciden, no las suposiciones.</w:t>
            </w:r>
          </w:p>
        </w:tc>
      </w:tr>
    </w:tbl>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TOTAL FASE 3: ~120 €/mes  (+30 € por App Insights y Monitor)</w:t>
            </w:r>
          </w:p>
        </w:tc>
      </w:tr>
    </w:tbl>
    <w:p>
      <w:pPr>
        <w:spacing w:before="16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c>
          <w:tcPr>
            <w:tcW w:type="dxa" w:w="1800"/>
            <w:tcBorders>
              <w:top w:val="none" w:color="FFFFFF" w:sz="0"/>
              <w:left w:val="none" w:color="FFFFFF" w:sz="0"/>
              <w:bottom w:val="none" w:color="FFFFFF" w:sz="0"/>
              <w:right w:val="none" w:color="FFFFFF" w:sz="0"/>
            </w:tcBorders>
            <w:shd w:fill="E67E22" w:val="clear"/>
            <w:tcMar>
              <w:top w:type="dxa" w:w="200"/>
              <w:left w:type="dxa" w:w="160"/>
              <w:bottom w:type="dxa" w:w="200"/>
              <w:right w:type="dxa" w:w="160"/>
            </w:tcMar>
            <w:vAlign w:val="center"/>
          </w:tcPr>
          <w:p>
            <w:pPr>
              <w:jc w:val="center"/>
            </w:pPr>
            <w:r>
              <w:rPr>
                <w:rFonts w:ascii="Arial" w:cs="Arial" w:eastAsia="Arial" w:hAnsi="Arial"/>
                <w:b/>
                <w:bCs/>
                <w:color w:val="FFFFFF"/>
                <w:sz w:val="16"/>
                <w:szCs w:val="16"/>
              </w:rPr>
              <w:t xml:space="preserve">FASE 4</w:t>
            </w:r>
          </w:p>
          <w:p>
            <w:pPr>
              <w:jc w:val="center"/>
            </w:pPr>
            <w:r>
              <w:rPr>
                <w:rFonts w:ascii="Arial" w:cs="Arial" w:eastAsia="Arial" w:hAnsi="Arial"/>
                <w:b/>
                <w:bCs/>
                <w:color w:val="FFFFFF"/>
                <w:sz w:val="28"/>
                <w:szCs w:val="28"/>
              </w:rPr>
              <w:t xml:space="preserve">Escala</w:t>
            </w:r>
          </w:p>
          <w:p>
            <w:pPr>
              <w:spacing w:before="40" w:after="0"/>
            </w:pPr>
          </w:p>
          <w:p>
            <w:pPr>
              <w:jc w:val="center"/>
            </w:pPr>
            <w:r>
              <w:rPr>
                <w:rFonts w:ascii="Arial" w:cs="Arial" w:eastAsia="Arial" w:hAnsi="Arial"/>
                <w:b/>
                <w:bCs/>
                <w:color w:val="FFFFFF"/>
                <w:sz w:val="22"/>
                <w:szCs w:val="22"/>
              </w:rPr>
              <w:t xml:space="preserve">~160 €/mes</w:t>
            </w:r>
          </w:p>
          <w:p>
            <w:pPr>
              <w:jc w:val="center"/>
            </w:pPr>
            <w:r>
              <w:rPr>
                <w:rFonts w:ascii="Arial" w:cs="Arial" w:eastAsia="Arial" w:hAnsi="Arial"/>
                <w:color w:val="FFFFFF"/>
                <w:sz w:val="18"/>
                <w:szCs w:val="18"/>
              </w:rPr>
              <w:t xml:space="preserve">3–4 semanas adicionales</w:t>
            </w:r>
          </w:p>
        </w:tc>
        <w:tc>
          <w:tcPr>
            <w:tcW w:type="dxa" w:w="8306"/>
            <w:tcBorders>
              <w:top w:val="single" w:color="E67E22" w:sz="1"/>
              <w:left w:val="single" w:color="E67E22" w:sz="1"/>
              <w:bottom w:val="single" w:color="E67E22" w:sz="1"/>
              <w:right w:val="single" w:color="E67E22" w:sz="1"/>
            </w:tcBorders>
            <w:shd w:fill="FFFFFF" w:val="clear"/>
            <w:tcMar>
              <w:top w:type="dxa" w:w="160"/>
              <w:left w:type="dxa" w:w="200"/>
              <w:bottom w:type="dxa" w:w="160"/>
              <w:right w:type="dxa" w:w="200"/>
            </w:tcMar>
          </w:tcPr>
          <w:p>
            <w:r>
              <w:rPr>
                <w:rFonts w:ascii="Arial" w:cs="Arial" w:eastAsia="Arial" w:hAnsi="Arial"/>
                <w:b/>
                <w:bCs/>
                <w:color w:val="E67E22"/>
                <w:sz w:val="22"/>
                <w:szCs w:val="22"/>
              </w:rPr>
              <w:t xml:space="preserve">Bot Teams nativo. Garantía de entrega de alertas. Soporte a más usuarios simultáneos.</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r>
              <w:rPr>
                <w:rFonts w:ascii="Arial" w:cs="Arial" w:eastAsia="Arial" w:hAnsi="Arial"/>
                <w:b w:val="false"/>
                <w:bCs w:val="false"/>
                <w:color w:val="E67E22"/>
                <w:sz w:val="20"/>
                <w:szCs w:val="20"/>
              </w:rPr>
              <w:t xml:space="preserve">Argumento para la empresa: "App Insights nos dice que hay X usuarios simultáneos, que se pierden Y alertas al día por cold start y que los usuarios de Teams prefieren el bot nativo a la pestaña. Estos datos justifican esta inversión adicional."</w:t>
            </w:r>
          </w:p>
        </w:tc>
      </w:tr>
    </w:tbl>
    <w:p>
      <w:pPr>
        <w:spacing w:before="12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706"/>
      </w:tblGrid>
      <w:tr>
        <w:tc>
          <w:tcPr>
            <w:tcW w:type="dxa" w:w="36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Componente / Recurso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¿Incluido?</w:t>
            </w:r>
          </w:p>
        </w:tc>
        <w:tc>
          <w:tcPr>
            <w:tcW w:type="dxa" w:w="1400"/>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Coste/mes</w:t>
            </w:r>
          </w:p>
        </w:tc>
        <w:tc>
          <w:tcPr>
            <w:tcW w:type="dxa" w:w="3706"/>
            <w:tcBorders>
              <w:top w:val="single" w:color="0078D4" w:sz="1"/>
              <w:left w:val="single" w:color="0078D4" w:sz="1"/>
              <w:bottom w:val="single" w:color="0078D4" w:sz="1"/>
              <w:right w:val="single" w:color="0078D4" w:sz="1"/>
            </w:tcBorders>
            <w:shd w:fill="0078D4" w:val="clear"/>
            <w:tcMar>
              <w:top w:type="dxa" w:w="80"/>
              <w:left w:type="dxa" w:w="100"/>
              <w:bottom w:type="dxa" w:w="80"/>
              <w:right w:type="dxa" w:w="100"/>
            </w:tcMar>
          </w:tcPr>
          <w:p>
            <w:r>
              <w:rPr>
                <w:rFonts w:ascii="Arial" w:cs="Arial" w:eastAsia="Arial" w:hAnsi="Arial"/>
                <w:b/>
                <w:bCs/>
                <w:color w:val="FFFFFF"/>
                <w:sz w:val="18"/>
                <w:szCs w:val="18"/>
              </w:rPr>
              <w:t xml:space="preserve">Justificación</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Canal WhatsApp — migración a ACS</w:t>
            </w:r>
          </w:p>
        </w:tc>
        <w:tc>
          <w:tcPr>
            <w:tcW w:type="dxa" w:w="140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jc w:val="center"/>
            </w:pPr>
            <w:r>
              <w:rPr>
                <w:rFonts w:ascii="Arial" w:cs="Arial" w:eastAsia="Arial" w:hAnsi="Arial"/>
                <w:b/>
                <w:bCs/>
                <w:color w:val="B7950B"/>
                <w:sz w:val="17"/>
                <w:szCs w:val="17"/>
              </w:rPr>
              <w:t xml:space="preserve">⏳ OPCIONAL</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0 € diferencia</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Si se quiere unificar todo en Azure, migrar de Twilio a Azure Communication Services. El orquestador no cambia.</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Azure Service Bus</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 si datos lo justifican</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~10 €</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Cola de alertas para garantizar entrega aunque el Container App esté en cold start. Solo si App Insights muestra pérdida de alertas.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003A70"/>
                <w:sz w:val="18"/>
                <w:szCs w:val="18"/>
              </w:rPr>
              <w:t xml:space="preserve">Redis Cache</w:t>
            </w:r>
          </w:p>
        </w:tc>
        <w:tc>
          <w:tcPr>
            <w:tcW w:type="dxa" w:w="14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tcPr>
          <w:p>
            <w:pPr>
              <w:jc w:val="center"/>
            </w:pPr>
            <w:r>
              <w:rPr>
                <w:rFonts w:ascii="Arial" w:cs="Arial" w:eastAsia="Arial" w:hAnsi="Arial"/>
                <w:b/>
                <w:bCs/>
                <w:color w:val="145A32"/>
                <w:sz w:val="17"/>
                <w:szCs w:val="17"/>
              </w:rPr>
              <w:t xml:space="preserve">✅ AÑADE si datos lo justifican</w:t>
            </w:r>
          </w:p>
        </w:tc>
        <w:tc>
          <w:tcPr>
            <w:tcW w:type="dxa" w:w="14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pPr>
              <w:jc w:val="center"/>
            </w:pPr>
            <w:r>
              <w:rPr>
                <w:rFonts w:ascii="Arial" w:cs="Arial" w:eastAsia="Arial" w:hAnsi="Arial"/>
                <w:color w:val="1C2833"/>
                <w:sz w:val="18"/>
                <w:szCs w:val="18"/>
              </w:rPr>
              <w:t xml:space="preserve">~15 €</w:t>
            </w:r>
          </w:p>
        </w:tc>
        <w:tc>
          <w:tcPr>
            <w:tcW w:type="dxa" w:w="3706"/>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566573"/>
                <w:sz w:val="18"/>
                <w:szCs w:val="18"/>
              </w:rPr>
              <w:t xml:space="preserve">Persistencia de sesión entre réplicas. Solo si App Insights muestra más de 3 réplicas simultáneas activas.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003A70"/>
                <w:sz w:val="18"/>
                <w:szCs w:val="18"/>
              </w:rPr>
              <w:t xml:space="preserve">Migración WhatsApp a ACS</w:t>
            </w:r>
          </w:p>
        </w:tc>
        <w:tc>
          <w:tcPr>
            <w:tcW w:type="dxa" w:w="140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jc w:val="center"/>
            </w:pPr>
            <w:r>
              <w:rPr>
                <w:rFonts w:ascii="Arial" w:cs="Arial" w:eastAsia="Arial" w:hAnsi="Arial"/>
                <w:b/>
                <w:bCs/>
                <w:color w:val="B7950B"/>
                <w:sz w:val="17"/>
                <w:szCs w:val="17"/>
              </w:rPr>
              <w:t xml:space="preserve">⏳ OPCIONAL</w:t>
            </w:r>
          </w:p>
        </w:tc>
        <w:tc>
          <w:tcPr>
            <w:tcW w:type="dxa" w:w="14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color w:val="1C2833"/>
                <w:sz w:val="18"/>
                <w:szCs w:val="18"/>
              </w:rPr>
              <w:t xml:space="preserve">0 € diferencia</w:t>
            </w:r>
          </w:p>
        </w:tc>
        <w:tc>
          <w:tcPr>
            <w:tcW w:type="dxa" w:w="3706"/>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Si se quiere unificar todo en Azure y eliminar Twilio como dependencia externa.</w:t>
            </w:r>
          </w:p>
        </w:tc>
      </w:tr>
    </w:tbl>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E67E22" w:val="clear"/>
            <w:tcMar>
              <w:top w:type="dxa" w:w="120"/>
              <w:left w:type="dxa" w:w="200"/>
              <w:bottom w:type="dxa" w:w="120"/>
              <w:right w:type="dxa" w:w="200"/>
            </w:tcMar>
          </w:tcPr>
          <w:p>
            <w:r>
              <w:rPr>
                <w:rFonts w:ascii="Arial" w:cs="Arial" w:eastAsia="Arial" w:hAnsi="Arial"/>
                <w:b/>
                <w:bCs/>
                <w:color w:val="FFFFFF"/>
                <w:sz w:val="20"/>
                <w:szCs w:val="20"/>
              </w:rPr>
              <w:t xml:space="preserve">TOTAL FASE 4: ~160 €/mes máximo  — y solo si los datos de Fase 3 lo justifican. Sin datos que lo pidan, no se implementa.</w:t>
            </w:r>
          </w:p>
        </w:tc>
      </w:tr>
    </w:tbl>
    <w:p>
      <w:pPr>
        <w:spacing w:before="160" w:after="0"/>
      </w:pPr>
    </w:p>
    <w:p>
      <w:r>
        <w:br w:type="page"/>
      </w:r>
    </w:p>
    <w:p>
      <w:pPr>
        <w:pStyle w:val="Heading1"/>
        <w:spacing w:before="280" w:after="140"/>
      </w:pPr>
      <w:r>
        <w:rPr>
          <w:rFonts w:ascii="Arial" w:cs="Arial" w:eastAsia="Arial" w:hAnsi="Arial"/>
          <w:b/>
          <w:bCs/>
          <w:color w:val="003A70"/>
          <w:sz w:val="34"/>
          <w:szCs w:val="34"/>
        </w:rPr>
        <w:t xml:space="preserve">3. Comparativa final — coste y valor por fase</w:t>
      </w:r>
    </w:p>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906"/>
      </w:tblGrid>
      <w:tr>
        <w:tc>
          <w:tcPr>
            <w:tcW w:type="dxa" w:w="2200"/>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b/>
                <w:bCs/>
                <w:color w:val="FFFFFF"/>
                <w:sz w:val="19"/>
                <w:szCs w:val="19"/>
              </w:rPr>
              <w:t xml:space="preserve">Fase</w:t>
            </w:r>
          </w:p>
        </w:tc>
        <w:tc>
          <w:tcPr>
            <w:tcW w:type="dxa" w:w="1400"/>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b/>
                <w:bCs/>
                <w:color w:val="FFFFFF"/>
                <w:sz w:val="19"/>
                <w:szCs w:val="19"/>
              </w:rPr>
              <w:t xml:space="preserve">Coste/mes</w:t>
            </w:r>
          </w:p>
        </w:tc>
        <w:tc>
          <w:tcPr>
            <w:tcW w:type="dxa" w:w="1600"/>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b/>
                <w:bCs/>
                <w:color w:val="FFFFFF"/>
                <w:sz w:val="19"/>
                <w:szCs w:val="19"/>
              </w:rPr>
              <w:t xml:space="preserve">Acumulado</w:t>
            </w:r>
          </w:p>
        </w:tc>
        <w:tc>
          <w:tcPr>
            <w:tcW w:type="dxa" w:w="4906"/>
            <w:tcBorders>
              <w:top w:val="single" w:color="003A70" w:sz="1"/>
              <w:left w:val="single" w:color="003A70" w:sz="1"/>
              <w:bottom w:val="single" w:color="003A70" w:sz="1"/>
              <w:right w:val="single" w:color="003A70" w:sz="1"/>
            </w:tcBorders>
            <w:shd w:fill="003A70" w:val="clear"/>
            <w:tcMar>
              <w:top w:type="dxa" w:w="80"/>
              <w:left w:type="dxa" w:w="120"/>
              <w:bottom w:type="dxa" w:w="80"/>
              <w:right w:type="dxa" w:w="120"/>
            </w:tcMar>
          </w:tcPr>
          <w:p>
            <w:r>
              <w:rPr>
                <w:rFonts w:ascii="Arial" w:cs="Arial" w:eastAsia="Arial" w:hAnsi="Arial"/>
                <w:b/>
                <w:bCs/>
                <w:color w:val="FFFFFF"/>
                <w:sz w:val="19"/>
                <w:szCs w:val="19"/>
              </w:rPr>
              <w:t xml:space="preserve">Qué se gana</w:t>
            </w:r>
          </w:p>
        </w:tc>
      </w:tr>
      <w:tr>
        <w:tc>
          <w:tcPr>
            <w:tcW w:type="dxa" w:w="2200"/>
            <w:tcBorders>
              <w:top w:val="single" w:color="D5D8DC" w:sz="1"/>
              <w:left w:val="single" w:color="D5D8DC" w:sz="1"/>
              <w:bottom w:val="single" w:color="D5D8DC" w:sz="1"/>
              <w:right w:val="single" w:color="D5D8DC" w:sz="1"/>
            </w:tcBorders>
            <w:shd w:fill="D5F5E3" w:val="clear"/>
            <w:tcMar>
              <w:top w:type="dxa" w:w="100"/>
              <w:left w:type="dxa" w:w="120"/>
              <w:bottom w:type="dxa" w:w="100"/>
              <w:right w:type="dxa" w:w="120"/>
            </w:tcMar>
          </w:tcPr>
          <w:p>
            <w:r>
              <w:rPr>
                <w:rFonts w:ascii="Arial" w:cs="Arial" w:eastAsia="Arial" w:hAnsi="Arial"/>
                <w:b/>
                <w:bCs/>
                <w:color w:val="1E8449"/>
                <w:sz w:val="19"/>
                <w:szCs w:val="19"/>
              </w:rPr>
              <w:t xml:space="preserve">Fase 1 — MVP Azure Bot</w:t>
            </w:r>
          </w:p>
        </w:tc>
        <w:tc>
          <w:tcPr>
            <w:tcW w:type="dxa" w:w="1400"/>
            <w:tcBorders>
              <w:top w:val="single" w:color="D5D8DC" w:sz="1"/>
              <w:left w:val="single" w:color="D5D8DC" w:sz="1"/>
              <w:bottom w:val="single" w:color="D5D8DC" w:sz="1"/>
              <w:right w:val="single" w:color="D5D8DC" w:sz="1"/>
            </w:tcBorders>
            <w:shd w:fill="D5F5E3" w:val="clear"/>
            <w:tcMar>
              <w:top w:type="dxa" w:w="100"/>
              <w:left w:type="dxa" w:w="120"/>
              <w:bottom w:type="dxa" w:w="100"/>
              <w:right w:type="dxa" w:w="120"/>
            </w:tcMar>
          </w:tcPr>
          <w:p>
            <w:pPr>
              <w:jc w:val="center"/>
            </w:pPr>
            <w:r>
              <w:rPr>
                <w:rFonts w:ascii="Arial" w:cs="Arial" w:eastAsia="Arial" w:hAnsi="Arial"/>
                <w:b/>
                <w:bCs/>
                <w:color w:val="1E8449"/>
                <w:sz w:val="21"/>
                <w:szCs w:val="21"/>
              </w:rPr>
              <w:t xml:space="preserve">~65–80 €</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center"/>
            </w:pPr>
            <w:r>
              <w:rPr>
                <w:rFonts w:ascii="Arial" w:cs="Arial" w:eastAsia="Arial" w:hAnsi="Arial"/>
                <w:b/>
                <w:bCs/>
                <w:color w:val="003A70"/>
                <w:sz w:val="20"/>
                <w:szCs w:val="20"/>
              </w:rPr>
              <w:t xml:space="preserve">~80 €</w:t>
            </w:r>
          </w:p>
        </w:tc>
        <w:tc>
          <w:tcPr>
            <w:tcW w:type="dxa" w:w="4906"/>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C2833"/>
                <w:sz w:val="18"/>
                <w:szCs w:val="18"/>
              </w:rPr>
              <w:t xml:space="preserve">Agente funcional completo para todos los perfiles. Consultas y acciones transaccionales sobre BC. Canal Azure Bot.</w:t>
            </w:r>
          </w:p>
        </w:tc>
      </w:tr>
      <w:tr>
        <w:tc>
          <w:tcPr>
            <w:tcW w:type="dxa" w:w="2200"/>
            <w:tcBorders>
              <w:top w:val="single" w:color="D5D8DC" w:sz="1"/>
              <w:left w:val="single" w:color="D5D8DC" w:sz="1"/>
              <w:bottom w:val="single" w:color="D5D8DC" w:sz="1"/>
              <w:right w:val="single" w:color="D5D8DC" w:sz="1"/>
            </w:tcBorders>
            <w:shd w:fill="D5F5E3" w:val="clear"/>
            <w:tcMar>
              <w:top w:type="dxa" w:w="100"/>
              <w:left w:type="dxa" w:w="120"/>
              <w:bottom w:type="dxa" w:w="100"/>
              <w:right w:type="dxa" w:w="120"/>
            </w:tcMar>
          </w:tcPr>
          <w:p>
            <w:r>
              <w:rPr>
                <w:rFonts w:ascii="Arial" w:cs="Arial" w:eastAsia="Arial" w:hAnsi="Arial"/>
                <w:b/>
                <w:bCs/>
                <w:color w:val="25D366"/>
                <w:sz w:val="19"/>
                <w:szCs w:val="19"/>
              </w:rPr>
              <w:t xml:space="preserve">Fase 2 — WhatsApp + Robustez</w:t>
            </w:r>
          </w:p>
        </w:tc>
        <w:tc>
          <w:tcPr>
            <w:tcW w:type="dxa" w:w="1400"/>
            <w:tcBorders>
              <w:top w:val="single" w:color="D5D8DC" w:sz="1"/>
              <w:left w:val="single" w:color="D5D8DC" w:sz="1"/>
              <w:bottom w:val="single" w:color="D5D8DC" w:sz="1"/>
              <w:right w:val="single" w:color="D5D8DC" w:sz="1"/>
            </w:tcBorders>
            <w:shd w:fill="D5F5E3" w:val="clear"/>
            <w:tcMar>
              <w:top w:type="dxa" w:w="100"/>
              <w:left w:type="dxa" w:w="120"/>
              <w:bottom w:type="dxa" w:w="100"/>
              <w:right w:type="dxa" w:w="120"/>
            </w:tcMar>
          </w:tcPr>
          <w:p>
            <w:pPr>
              <w:jc w:val="center"/>
            </w:pPr>
            <w:r>
              <w:rPr>
                <w:rFonts w:ascii="Arial" w:cs="Arial" w:eastAsia="Arial" w:hAnsi="Arial"/>
                <w:b/>
                <w:bCs/>
                <w:color w:val="25D366"/>
                <w:sz w:val="21"/>
                <w:szCs w:val="21"/>
              </w:rPr>
              <w:t xml:space="preserve">+25 €</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center"/>
            </w:pPr>
            <w:r>
              <w:rPr>
                <w:rFonts w:ascii="Arial" w:cs="Arial" w:eastAsia="Arial" w:hAnsi="Arial"/>
                <w:b/>
                <w:bCs/>
                <w:color w:val="003A70"/>
                <w:sz w:val="20"/>
                <w:szCs w:val="20"/>
              </w:rPr>
              <w:t xml:space="preserve">~90 €</w:t>
            </w:r>
          </w:p>
        </w:tc>
        <w:tc>
          <w:tcPr>
            <w:tcW w:type="dxa" w:w="4906"/>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C2833"/>
                <w:sz w:val="18"/>
                <w:szCs w:val="18"/>
              </w:rPr>
              <w:t xml:space="preserve">WhatsApp para Jefes de Obra en campo. Key Vault. Alertas proactivas automáticas enrutadas por canal y perfil.</w:t>
            </w:r>
          </w:p>
        </w:tc>
      </w:tr>
      <w:tr>
        <w:tc>
          <w:tcPr>
            <w:tcW w:type="dxa" w:w="2200"/>
            <w:tcBorders>
              <w:top w:val="single" w:color="D5D8DC" w:sz="1"/>
              <w:left w:val="single" w:color="D5D8DC" w:sz="1"/>
              <w:bottom w:val="single" w:color="D5D8DC" w:sz="1"/>
              <w:right w:val="single" w:color="D5D8DC" w:sz="1"/>
            </w:tcBorders>
            <w:shd w:fill="E8DAEF" w:val="clear"/>
            <w:tcMar>
              <w:top w:type="dxa" w:w="100"/>
              <w:left w:type="dxa" w:w="120"/>
              <w:bottom w:type="dxa" w:w="100"/>
              <w:right w:type="dxa" w:w="120"/>
            </w:tcMar>
          </w:tcPr>
          <w:p>
            <w:r>
              <w:rPr>
                <w:rFonts w:ascii="Arial" w:cs="Arial" w:eastAsia="Arial" w:hAnsi="Arial"/>
                <w:b/>
                <w:bCs/>
                <w:color w:val="6C3483"/>
                <w:sz w:val="19"/>
                <w:szCs w:val="19"/>
              </w:rPr>
              <w:t xml:space="preserve">Fase 3 — Observabilidad</w:t>
            </w:r>
          </w:p>
        </w:tc>
        <w:tc>
          <w:tcPr>
            <w:tcW w:type="dxa" w:w="1400"/>
            <w:tcBorders>
              <w:top w:val="single" w:color="D5D8DC" w:sz="1"/>
              <w:left w:val="single" w:color="D5D8DC" w:sz="1"/>
              <w:bottom w:val="single" w:color="D5D8DC" w:sz="1"/>
              <w:right w:val="single" w:color="D5D8DC" w:sz="1"/>
            </w:tcBorders>
            <w:shd w:fill="E8DAEF" w:val="clear"/>
            <w:tcMar>
              <w:top w:type="dxa" w:w="100"/>
              <w:left w:type="dxa" w:w="120"/>
              <w:bottom w:type="dxa" w:w="100"/>
              <w:right w:type="dxa" w:w="120"/>
            </w:tcMar>
          </w:tcPr>
          <w:p>
            <w:pPr>
              <w:jc w:val="center"/>
            </w:pPr>
            <w:r>
              <w:rPr>
                <w:rFonts w:ascii="Arial" w:cs="Arial" w:eastAsia="Arial" w:hAnsi="Arial"/>
                <w:b/>
                <w:bCs/>
                <w:color w:val="6C3483"/>
                <w:sz w:val="21"/>
                <w:szCs w:val="21"/>
              </w:rPr>
              <w:t xml:space="preserve">+30 €</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center"/>
            </w:pPr>
            <w:r>
              <w:rPr>
                <w:rFonts w:ascii="Arial" w:cs="Arial" w:eastAsia="Arial" w:hAnsi="Arial"/>
                <w:b/>
                <w:bCs/>
                <w:color w:val="003A70"/>
                <w:sz w:val="20"/>
                <w:szCs w:val="20"/>
              </w:rPr>
              <w:t xml:space="preserve">~120 €</w:t>
            </w:r>
          </w:p>
        </w:tc>
        <w:tc>
          <w:tcPr>
            <w:tcW w:type="dxa" w:w="4906"/>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C2833"/>
                <w:sz w:val="18"/>
                <w:szCs w:val="18"/>
              </w:rPr>
              <w:t xml:space="preserve">Visibilidad completa del sistema. Saber qué pasa, cuánto cuesta y qué falla antes de que lo reporte un usuario.</w:t>
            </w:r>
          </w:p>
        </w:tc>
      </w:tr>
      <w:tr>
        <w:tc>
          <w:tcPr>
            <w:tcW w:type="dxa" w:w="2200"/>
            <w:tcBorders>
              <w:top w:val="single" w:color="D5D8DC" w:sz="1"/>
              <w:left w:val="single" w:color="D5D8DC" w:sz="1"/>
              <w:bottom w:val="single" w:color="D5D8DC" w:sz="1"/>
              <w:right w:val="single" w:color="D5D8DC" w:sz="1"/>
            </w:tcBorders>
            <w:shd w:fill="FDEBD0" w:val="clear"/>
            <w:tcMar>
              <w:top w:type="dxa" w:w="100"/>
              <w:left w:type="dxa" w:w="120"/>
              <w:bottom w:type="dxa" w:w="100"/>
              <w:right w:type="dxa" w:w="120"/>
            </w:tcMar>
          </w:tcPr>
          <w:p>
            <w:r>
              <w:rPr>
                <w:rFonts w:ascii="Arial" w:cs="Arial" w:eastAsia="Arial" w:hAnsi="Arial"/>
                <w:b/>
                <w:bCs/>
                <w:color w:val="E67E22"/>
                <w:sz w:val="19"/>
                <w:szCs w:val="19"/>
              </w:rPr>
              <w:t xml:space="preserve">Fase 4 — Escala</w:t>
            </w:r>
          </w:p>
        </w:tc>
        <w:tc>
          <w:tcPr>
            <w:tcW w:type="dxa" w:w="1400"/>
            <w:tcBorders>
              <w:top w:val="single" w:color="D5D8DC" w:sz="1"/>
              <w:left w:val="single" w:color="D5D8DC" w:sz="1"/>
              <w:bottom w:val="single" w:color="D5D8DC" w:sz="1"/>
              <w:right w:val="single" w:color="D5D8DC" w:sz="1"/>
            </w:tcBorders>
            <w:shd w:fill="FDEBD0" w:val="clear"/>
            <w:tcMar>
              <w:top w:type="dxa" w:w="100"/>
              <w:left w:type="dxa" w:w="120"/>
              <w:bottom w:type="dxa" w:w="100"/>
              <w:right w:type="dxa" w:w="120"/>
            </w:tcMar>
          </w:tcPr>
          <w:p>
            <w:pPr>
              <w:jc w:val="center"/>
            </w:pPr>
            <w:r>
              <w:rPr>
                <w:rFonts w:ascii="Arial" w:cs="Arial" w:eastAsia="Arial" w:hAnsi="Arial"/>
                <w:b/>
                <w:bCs/>
                <w:color w:val="E67E22"/>
                <w:sz w:val="21"/>
                <w:szCs w:val="21"/>
              </w:rPr>
              <w:t xml:space="preserve">+40 €</w:t>
            </w:r>
          </w:p>
        </w:tc>
        <w:tc>
          <w:tcPr>
            <w:tcW w:type="dxa" w:w="1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center"/>
            </w:pPr>
            <w:r>
              <w:rPr>
                <w:rFonts w:ascii="Arial" w:cs="Arial" w:eastAsia="Arial" w:hAnsi="Arial"/>
                <w:b/>
                <w:bCs/>
                <w:color w:val="003A70"/>
                <w:sz w:val="20"/>
                <w:szCs w:val="20"/>
              </w:rPr>
              <w:t xml:space="preserve">~160 €</w:t>
            </w:r>
          </w:p>
        </w:tc>
        <w:tc>
          <w:tcPr>
            <w:tcW w:type="dxa" w:w="4906"/>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C2833"/>
                <w:sz w:val="18"/>
                <w:szCs w:val="18"/>
              </w:rPr>
              <w:t xml:space="preserve">Bot Teams nativo. Garantía de entrega de alertas. Soporte a mayor volumen de usuarios simultáneos.</w:t>
            </w:r>
          </w:p>
        </w:tc>
      </w:tr>
    </w:tbl>
    <w:p>
      <w:pPr>
        <w:spacing w:before="120" w:after="0"/>
      </w:pPr>
    </w:p>
    <w:p>
      <w:pPr>
        <w:pStyle w:val="Heading1"/>
        <w:spacing w:before="280" w:after="140"/>
      </w:pPr>
      <w:r>
        <w:rPr>
          <w:rFonts w:ascii="Arial" w:cs="Arial" w:eastAsia="Arial" w:hAnsi="Arial"/>
          <w:b/>
          <w:bCs/>
          <w:color w:val="003A70"/>
          <w:sz w:val="34"/>
          <w:szCs w:val="34"/>
        </w:rPr>
        <w:t xml:space="preserve">4. Decisión recomendada</w:t>
      </w:r>
    </w:p>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003A70" w:val="clear"/>
            <w:tcMar>
              <w:top w:type="dxa" w:w="120"/>
              <w:left w:type="dxa" w:w="200"/>
              <w:bottom w:type="dxa" w:w="120"/>
              <w:right w:type="dxa" w:w="200"/>
            </w:tcMar>
          </w:tcPr>
          <w:p>
            <w:r>
              <w:rPr>
                <w:rFonts w:ascii="Arial" w:cs="Arial" w:eastAsia="Arial" w:hAnsi="Arial"/>
                <w:b/>
                <w:bCs/>
                <w:color w:val="FFFFFF"/>
                <w:sz w:val="20"/>
                <w:szCs w:val="20"/>
              </w:rPr>
              <w:t xml:space="preserve">Arrancar con Fase 1. Aprobar Fase 2 cuando Fase 1 lleve 2–4 semanas en producción.</w:t>
            </w:r>
          </w:p>
        </w:tc>
      </w:tr>
    </w:tbl>
    <w:p>
      <w:pPr>
        <w:spacing w:before="80" w:after="0"/>
      </w:pPr>
    </w:p>
    <w:p>
      <w:pPr>
        <w:spacing w:before="60" w:after="60"/>
      </w:pPr>
      <w:r>
        <w:rPr>
          <w:rFonts w:ascii="Arial" w:cs="Arial" w:eastAsia="Arial" w:hAnsi="Arial"/>
          <w:color w:val="1C2833"/>
          <w:sz w:val="20"/>
          <w:szCs w:val="20"/>
        </w:rPr>
        <w:t xml:space="preserve">La Fase 1 entrega el 90% del valor funcional del agente. Cualquier organización que use BC y tenga el módulo de Gestión de Recursos puede justificar 65–80 €/mes para que sus equipos operen sin tocar BC directamente.</w:t>
      </w:r>
    </w:p>
    <w:p>
      <w:pPr>
        <w:spacing w:before="60" w:after="0"/>
      </w:pPr>
    </w:p>
    <w:p>
      <w:pPr>
        <w:spacing w:before="60" w:after="60"/>
      </w:pPr>
      <w:r>
        <w:rPr>
          <w:rFonts w:ascii="Arial" w:cs="Arial" w:eastAsia="Arial" w:hAnsi="Arial"/>
          <w:color w:val="1C2833"/>
          <w:sz w:val="20"/>
          <w:szCs w:val="20"/>
        </w:rPr>
        <w:t xml:space="preserve">La Fase 2 tiene un argumento especialmente sólido: los Jefes de Obra ya usan WhatsApp en el día a día. No necesitan aprender nada nuevo. El agente simplemente aparece en el canal que ya tienen abierto. Ese argumento es fácil de vender internamente.</w:t>
      </w:r>
    </w:p>
    <w:p>
      <w:pPr>
        <w:spacing w:before="60" w:after="0"/>
      </w:pPr>
    </w:p>
    <w:p>
      <w:pPr>
        <w:spacing w:before="60" w:after="60"/>
      </w:pPr>
      <w:r>
        <w:rPr>
          <w:rFonts w:ascii="Arial" w:cs="Arial" w:eastAsia="Arial" w:hAnsi="Arial"/>
          <w:color w:val="1C2833"/>
          <w:sz w:val="20"/>
          <w:szCs w:val="20"/>
        </w:rPr>
        <w:t xml:space="preserve">Las fases 3 y 4 son mejoras de ingeniería que se aprueban con datos en la mano, no con suposiciones. App Insights en Fase 3 es precisamente la herramienta que genera esos datos.</w:t>
      </w:r>
    </w:p>
    <w:p>
      <w:pPr>
        <w:spacing w:before="80" w:after="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r>
              <w:rPr>
                <w:rFonts w:ascii="Arial" w:cs="Arial" w:eastAsia="Arial" w:hAnsi="Arial"/>
                <w:b w:val="false"/>
                <w:bCs w:val="false"/>
                <w:color w:val="1C2833"/>
                <w:sz w:val="20"/>
                <w:szCs w:val="20"/>
              </w:rPr>
              <w:t xml:space="preserve">Riesgo real de quedarse en Fase 1 para siempre: ninguno relevante. El único escenario donde no es suficiente es con más de 50 usuarios activos diarios simultáneos — y eso es observable y gestionable cuando ocurra.</w:t>
            </w:r>
          </w:p>
        </w:tc>
      </w:tr>
    </w:tbl>
    <w:p>
      <w:pPr>
        <w:spacing w:before="80" w:after="0"/>
      </w:pPr>
    </w:p>
    <w:p>
      <w:pPr>
        <w:pBdr>
          <w:bottom w:val="single" w:color="003A70" w:sz="3" w:space="1"/>
        </w:pBdr>
        <w:spacing w:before="120" w:after="120"/>
      </w:pPr>
    </w:p>
    <w:p>
      <w:pPr>
        <w:spacing w:before="60" w:after="0"/>
        <w:jc w:val="right"/>
      </w:pPr>
      <w:r>
        <w:rPr>
          <w:rFonts w:ascii="Arial" w:cs="Arial" w:eastAsia="Arial" w:hAnsi="Arial"/>
          <w:i/>
          <w:iCs/>
          <w:color w:val="566573"/>
          <w:sz w:val="17"/>
          <w:szCs w:val="17"/>
        </w:rPr>
        <w:t xml:space="preserve">Transformación Digital · Plan de implementación por fases · Febrero 2026</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03A70"/>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2026-03-12T07:59:34.848Z</dcterms:created>
  <dcterms:modified xsi:type="dcterms:W3CDTF">2026-03-12T07:59:34.849Z</dcterms:modified>
</cp:coreProperties>
</file>

<file path=docProps/custom.xml><?xml version="1.0" encoding="utf-8"?>
<Properties xmlns="http://schemas.openxmlformats.org/officeDocument/2006/custom-properties" xmlns:vt="http://schemas.openxmlformats.org/officeDocument/2006/docPropsVTypes"/>
</file>