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120"/>
        <w:jc w:val="center"/>
      </w:pPr>
      <w:r>
        <w:rPr>
          <w:b w:val="on"/>
          <w:sz w:val="32"/>
        </w:rPr>
        <w:t>Acte d'engagement — lot 3</w:t>
      </w:r>
    </w:p>
    <w:p>
      <w:pPr>
        <w:spacing w:after="240"/>
        <w:jc w:val="center"/>
      </w:pPr>
      <w:r>
        <w:rPr>
          <w:b w:val="off"/>
          <w:sz w:val="24"/>
        </w:rPr>
        <w:t>Fourniture et livraison des matériels informatiques répartis en cinq (5) lots (à commande)</w:t>
      </w:r>
    </w:p>
    <w:p>
      <w:pPr>
        <w:spacing w:after="120"/>
        <w:jc w:val="left"/>
      </w:pPr>
      <w:r>
        <w:rPr>
          <w:b w:val="on"/>
          <w:sz w:val="26"/>
        </w:rPr>
        <w:t>Identification &amp; données du PPM</w:t>
      </w:r>
    </w:p>
    <w:p>
      <w:pPr>
        <w:spacing w:after="60"/>
        <w:jc w:val="left"/>
      </w:pPr>
      <w:r>
        <w:rPr>
          <w:b w:val="on"/>
          <w:sz w:val="22"/>
        </w:rPr>
        <w:t>Acheteur</w:t>
      </w:r>
    </w:p>
    <w:p>
      <w:pPr>
        <w:spacing w:after="40"/>
      </w:pPr>
      <w:r>
        <w:rPr>
          <w:b w:val="on"/>
          <w:sz w:val="20"/>
        </w:rPr>
        <w:t xml:space="preserve">Autorité contractante : </w:t>
      </w:r>
      <w:r>
        <w:rPr>
          <w:sz w:val="20"/>
        </w:rPr>
        <w:t>MINISTERE DE L'ENSEIGNEMENT SUPERIEUR ET DE LA RECHERCHE SCIENTIFIQUE</w:t>
      </w:r>
    </w:p>
    <w:p>
      <w:pPr>
        <w:spacing w:after="40"/>
      </w:pPr>
      <w:r>
        <w:rPr>
          <w:b w:val="on"/>
          <w:sz w:val="20"/>
        </w:rPr>
        <w:t xml:space="preserve">Adresse de l'autorité contractante : </w:t>
      </w:r>
      <w:r>
        <w:rPr>
          <w:sz w:val="20"/>
        </w:rPr>
        <w:t>Fiadanana, 2ème étage porte 204 — Antananarivo 101</w:t>
      </w:r>
    </w:p>
    <w:p>
      <w:pPr>
        <w:spacing w:after="40"/>
      </w:pPr>
      <w:r>
        <w:rPr>
          <w:b w:val="on"/>
          <w:sz w:val="20"/>
        </w:rPr>
        <w:t xml:space="preserve">Ministère ou organisme de rattachement : </w:t>
      </w:r>
      <w:r>
        <w:rPr>
          <w:sz w:val="20"/>
        </w:rPr>
        <w:t>Ministère de l'Économie et des Finances</w:t>
      </w:r>
    </w:p>
    <w:p>
      <w:pPr>
        <w:spacing w:after="40"/>
      </w:pPr>
      <w:r>
        <w:rPr>
          <w:b w:val="on"/>
          <w:sz w:val="20"/>
        </w:rPr>
        <w:t xml:space="preserve">Personne responsable des marchés publics : </w:t>
      </w:r>
      <w:r>
        <w:rPr>
          <w:sz w:val="20"/>
        </w:rPr>
        <w:t>LERAVO Norbert Fidelys</w:t>
      </w:r>
    </w:p>
    <w:p>
      <w:pPr>
        <w:spacing w:after="40"/>
      </w:pPr>
      <w:r>
        <w:rPr>
          <w:b w:val="on"/>
          <w:sz w:val="20"/>
        </w:rPr>
        <w:t xml:space="preserve">Exercice budgétaire : </w:t>
      </w:r>
      <w:r>
        <w:rPr>
          <w:sz w:val="20"/>
        </w:rPr>
        <w:t>2026</w:t>
      </w:r>
    </w:p>
    <w:p>
      <w:pPr>
        <w:spacing w:after="40"/>
      </w:pPr>
      <w:r>
        <w:rPr>
          <w:b w:val="on"/>
          <w:sz w:val="20"/>
        </w:rPr>
        <w:t xml:space="preserve">Nature du marché : </w:t>
      </w:r>
      <w:r>
        <w:rPr>
          <w:sz w:val="20"/>
        </w:rPr>
        <w:t>Fournitures</w:t>
      </w:r>
    </w:p>
    <w:p>
      <w:pPr>
        <w:spacing w:after="40"/>
      </w:pPr>
      <w:r>
        <w:rPr>
          <w:b w:val="on"/>
          <w:sz w:val="20"/>
        </w:rPr>
        <w:t xml:space="preserve">Mode de passation : </w:t>
      </w:r>
      <w:r>
        <w:rPr>
          <w:sz w:val="20"/>
        </w:rPr>
        <w:t>Appel d'offres ouvert</w:t>
      </w:r>
    </w:p>
    <w:p>
      <w:pPr>
        <w:spacing w:after="40"/>
      </w:pPr>
      <w:r>
        <w:rPr>
          <w:b w:val="on"/>
          <w:sz w:val="20"/>
        </w:rPr>
        <w:t xml:space="preserve">Montant estimatif (Ariary) : </w:t>
      </w:r>
      <w:r>
        <w:rPr>
          <w:sz w:val="20"/>
        </w:rPr>
        <w:t>457 000 000 Ariary (quatre cent cinquante-sept millions ariary)</w:t>
      </w:r>
    </w:p>
    <w:p>
      <w:pPr>
        <w:spacing w:after="40"/>
      </w:pPr>
      <w:r>
        <w:rPr>
          <w:b w:val="on"/>
          <w:sz w:val="20"/>
        </w:rPr>
        <w:t xml:space="preserve">Source de financement : </w:t>
      </w:r>
      <w:r>
        <w:rPr>
          <w:sz w:val="20"/>
        </w:rPr>
        <w:t>RPI</w:t>
      </w:r>
    </w:p>
    <w:p>
      <w:pPr>
        <w:spacing w:after="40"/>
      </w:pPr>
      <w:r>
        <w:rPr>
          <w:b w:val="on"/>
          <w:sz w:val="20"/>
        </w:rPr>
        <w:t xml:space="preserve">Compte(s) budgétaire(s) : </w:t>
      </w:r>
      <w:r>
        <w:rPr>
          <w:sz w:val="20"/>
        </w:rPr>
        <w:t>2463</w:t>
      </w:r>
    </w:p>
    <w:p>
      <w:pPr>
        <w:spacing w:after="40"/>
      </w:pPr>
      <w:r>
        <w:rPr>
          <w:b w:val="on"/>
          <w:sz w:val="20"/>
        </w:rPr>
        <w:t xml:space="preserve">Forme du marché : </w:t>
      </w:r>
      <w:r>
        <w:rPr>
          <w:sz w:val="20"/>
        </w:rPr>
        <w:t>Marché à commande</w:t>
      </w:r>
    </w:p>
    <w:p>
      <w:pPr>
        <w:spacing w:after="120"/>
        <w:jc w:val="left"/>
      </w:pPr>
      <w:r>
        <w:rPr>
          <w:b w:val="on"/>
          <w:sz w:val="26"/>
        </w:rPr>
        <w:t>Objet, allotissement &amp; forme du marché</w:t>
      </w:r>
    </w:p>
    <w:p>
      <w:pPr>
        <w:spacing w:after="60"/>
        <w:jc w:val="left"/>
      </w:pPr>
      <w:r>
        <w:rPr>
          <w:b w:val="on"/>
          <w:sz w:val="22"/>
        </w:rPr>
        <w:t>Objet de l'appel d'offres</w:t>
      </w:r>
    </w:p>
    <w:p>
      <w:pPr>
        <w:spacing w:after="40"/>
      </w:pPr>
      <w:r>
        <w:rPr>
          <w:b w:val="on"/>
          <w:sz w:val="20"/>
        </w:rPr>
        <w:t xml:space="preserve">Objet de l'appel d'offres : </w:t>
      </w:r>
      <w:r>
        <w:rPr>
          <w:sz w:val="20"/>
        </w:rPr>
        <w:t>Fourniture et livraison des matériels informatiques répartis en cinq (5) lots (à commande)</w:t>
      </w:r>
    </w:p>
    <w:p>
      <w:pPr>
        <w:spacing w:after="40"/>
      </w:pPr>
      <w:r>
        <w:rPr>
          <w:b w:val="on"/>
          <w:sz w:val="20"/>
        </w:rPr>
        <w:t xml:space="preserve">Numéro du dossier d'appel d'offres : </w:t>
      </w:r>
      <w:r>
        <w:rPr>
          <w:sz w:val="20"/>
        </w:rPr>
        <w:t>AOO n° 2463-MI/MESupReS/PRMP/UGPM.2026</w:t>
      </w:r>
    </w:p>
    <w:p>
      <w:pPr>
        <w:spacing w:after="60"/>
        <w:jc w:val="left"/>
      </w:pPr>
      <w:r>
        <w:rPr>
          <w:b w:val="on"/>
          <w:sz w:val="22"/>
        </w:rPr>
        <w:t>Lots et variantes</w:t>
      </w:r>
    </w:p>
    <w:p>
      <w:pPr>
        <w:spacing w:after="40"/>
      </w:pPr>
      <w:r>
        <w:rPr>
          <w:b w:val="on"/>
          <w:sz w:val="20"/>
        </w:rPr>
        <w:t xml:space="preserve">Nombre de lots du plan : </w:t>
      </w:r>
      <w:r>
        <w:rPr>
          <w:sz w:val="20"/>
        </w:rPr>
        <w:t>5</w:t>
      </w:r>
    </w:p>
    <w:p>
      <w:pPr>
        <w:spacing w:after="40"/>
      </w:pPr>
      <w:r>
        <w:rPr>
          <w:b w:val="on"/>
          <w:sz w:val="20"/>
        </w:rPr>
        <w:t xml:space="preserve">Désignation des lots du plan : </w:t>
      </w:r>
      <w:r>
        <w:rPr>
          <w:sz w:val="20"/>
        </w:rPr>
        <w:t>ORDINATEURS ET DIVERS POUR LE MINISTERE ; ORDINATEUR POUR AMBATONDRAZAKA ; DIVERS MATERIELS POUR AMBATONDRAZAKA ; ORDINATEUR POUR FORT DAUPHIN ; DIVERS MATERIELS POUR FORT DAUPHIN</w:t>
      </w:r>
    </w:p>
    <w:p>
      <w:pPr>
        <w:spacing w:after="40"/>
      </w:pPr>
      <w:r>
        <w:rPr>
          <w:b w:val="on"/>
          <w:sz w:val="20"/>
        </w:rPr>
        <w:t xml:space="preserve">Montant par lot (Ariary) : </w:t>
      </w:r>
      <w:r>
        <w:rPr>
          <w:sz w:val="20"/>
        </w:rPr>
        <w:t>ORDINATEURS ET DIVERS POUR LE MINISTERE : 80 000 000 ; ORDINATEUR POUR AMBATONDRAZAKA : 108 500 000 ; DIVERS MATERIELS POUR AMBATONDRAZAKA : 80 000 000 ; ORDINATEUR POUR FORT DAUPHIN : 108 500 000 ; DIVERS MATERIELS POUR FORT DAUPHIN : 80 000 000</w:t>
      </w:r>
    </w:p>
    <w:p>
      <w:pPr>
        <w:spacing w:after="40"/>
      </w:pPr>
      <w:r>
        <w:rPr>
          <w:b w:val="on"/>
          <w:sz w:val="20"/>
        </w:rPr>
        <w:t xml:space="preserve">Marché alloti : </w:t>
      </w:r>
      <w:r>
        <w:rPr>
          <w:sz w:val="20"/>
        </w:rPr>
        <w:t>Oui</w:t>
      </w:r>
    </w:p>
    <w:p>
      <w:pPr>
        <w:spacing w:after="40"/>
      </w:pPr>
      <w:r>
        <w:rPr>
          <w:b w:val="on"/>
          <w:sz w:val="20"/>
        </w:rPr>
        <w:t xml:space="preserve">Nombre de lots : </w:t>
      </w:r>
      <w:r>
        <w:rPr>
          <w:sz w:val="20"/>
        </w:rPr>
        <w:t>5</w:t>
      </w:r>
    </w:p>
    <w:p>
      <w:pPr>
        <w:spacing w:after="60"/>
        <w:jc w:val="left"/>
      </w:pPr>
      <w:r>
        <w:rPr>
          <w:b w:val="on"/>
          <w:sz w:val="22"/>
        </w:rPr>
        <w:t>Autres éléments du bloc</w:t>
      </w:r>
    </w:p>
    <w:p>
      <w:pPr>
        <w:spacing w:after="40"/>
      </w:pPr>
      <w:r>
        <w:rPr>
          <w:b w:val="on"/>
          <w:sz w:val="20"/>
        </w:rPr>
        <w:t xml:space="preserve">Durée de validité du marché à commande (mois) : </w:t>
      </w:r>
      <w:r>
        <w:rPr>
          <w:sz w:val="20"/>
        </w:rPr>
        <w:t>12</w:t>
      </w:r>
    </w:p>
    <w:p>
      <w:pPr>
        <w:spacing w:after="40"/>
      </w:pPr>
      <w:r>
        <w:rPr>
          <w:b w:val="on"/>
          <w:sz w:val="20"/>
        </w:rPr>
        <w:t xml:space="preserve">Date d'effet du marché à commande : </w:t>
      </w:r>
      <w:r>
        <w:rPr>
          <w:sz w:val="20"/>
        </w:rPr>
        <w:t>28/01/2027</w:t>
      </w:r>
    </w:p>
    <w:p>
      <w:pPr>
        <w:spacing w:after="120"/>
        <w:jc w:val="left"/>
      </w:pPr>
      <w:r>
        <w:rPr>
          <w:b w:val="on"/>
          <w:sz w:val="26"/>
        </w:rPr>
        <w:t>Candidats : groupement, sous-traitance, qualifications</w:t>
      </w:r>
    </w:p>
    <w:p>
      <w:pPr>
        <w:spacing w:after="60"/>
        <w:jc w:val="left"/>
      </w:pPr>
      <w:r>
        <w:rPr>
          <w:b w:val="on"/>
          <w:sz w:val="22"/>
        </w:rPr>
        <w:t>Groupement</w:t>
      </w:r>
    </w:p>
    <w:p>
      <w:pPr>
        <w:spacing w:after="40"/>
      </w:pPr>
      <w:r>
        <w:rPr>
          <w:b w:val="on"/>
          <w:sz w:val="20"/>
        </w:rPr>
        <w:t xml:space="preserve">Groupement autorisé : </w:t>
      </w:r>
      <w:r>
        <w:rPr>
          <w:sz w:val="20"/>
        </w:rPr>
        <w:t>Non</w:t>
      </w:r>
    </w:p>
    <w:p>
      <w:pPr>
        <w:spacing w:after="60"/>
        <w:jc w:val="left"/>
      </w:pPr>
      <w:r>
        <w:rPr>
          <w:b w:val="on"/>
          <w:sz w:val="22"/>
        </w:rPr>
        <w:t>Sous-traitance</w:t>
      </w:r>
    </w:p>
    <w:p>
      <w:pPr>
        <w:spacing w:after="40"/>
      </w:pPr>
      <w:r>
        <w:rPr>
          <w:b w:val="on"/>
          <w:sz w:val="20"/>
        </w:rPr>
        <w:t xml:space="preserve">Sous-traitance autorisée : </w:t>
      </w:r>
      <w:r>
        <w:rPr>
          <w:sz w:val="20"/>
        </w:rPr>
        <w:t>Non</w:t>
      </w:r>
    </w:p>
    <w:p>
      <w:pPr>
        <w:spacing w:after="60"/>
        <w:jc w:val="left"/>
      </w:pPr>
      <w:r>
        <w:rPr>
          <w:b w:val="on"/>
          <w:sz w:val="22"/>
        </w:rPr>
        <w:t>Nantissement</w:t>
      </w:r>
    </w:p>
    <w:p>
      <w:pPr>
        <w:spacing w:after="40"/>
      </w:pPr>
      <w:r>
        <w:rPr>
          <w:b w:val="on"/>
          <w:sz w:val="20"/>
        </w:rPr>
        <w:t xml:space="preserve">Nantissement autorisé : </w:t>
      </w:r>
      <w:r>
        <w:rPr>
          <w:sz w:val="20"/>
        </w:rPr>
        <w:t>Oui</w:t>
      </w:r>
    </w:p>
    <w:p>
      <w:pPr>
        <w:spacing w:after="40"/>
      </w:pPr>
      <w:r>
        <w:rPr>
          <w:b w:val="on"/>
          <w:sz w:val="20"/>
        </w:rPr>
        <w:t xml:space="preserve">Conditions du nantissement : </w:t>
      </w:r>
      <w:r>
        <w:rPr>
          <w:sz w:val="20"/>
        </w:rPr>
        <w:t>Est désigné comme comptable assignataire des paiements le Trésorier ministériel chargé de l'Enseignement ; le montant maximal de la créance qui pourra être nantie par le fournisseur est à compléter par le candidat, en lettres et en chiffres, à l'acte d'engagement.</w:t>
      </w:r>
    </w:p>
    <w:p>
      <w:pPr>
        <w:spacing w:after="40"/>
      </w:pPr>
      <w:r>
        <w:rPr>
          <w:b w:val="on"/>
          <w:sz w:val="20"/>
        </w:rPr>
        <w:t xml:space="preserve">Comptable assignataire des paiements : </w:t>
      </w:r>
      <w:r>
        <w:rPr>
          <w:sz w:val="20"/>
        </w:rPr>
        <w:t>Trésorier ministériel chargé de l’Enseignement</w:t>
      </w:r>
    </w:p>
    <w:p>
      <w:pPr>
        <w:spacing w:after="120"/>
        <w:jc w:val="left"/>
      </w:pPr>
      <w:r>
        <w:rPr>
          <w:b w:val="on"/>
          <w:sz w:val="26"/>
        </w:rPr>
        <w:t>Prix, montants &amp; garantie de soumission</w:t>
      </w:r>
    </w:p>
    <w:p>
      <w:pPr>
        <w:spacing w:after="60"/>
        <w:jc w:val="left"/>
      </w:pPr>
      <w:r>
        <w:rPr>
          <w:b w:val="on"/>
          <w:sz w:val="22"/>
        </w:rPr>
        <w:t>Contenu et décomposition des prix</w:t>
      </w:r>
    </w:p>
    <w:p>
      <w:pPr>
        <w:spacing w:after="40"/>
      </w:pPr>
      <w:r>
        <w:rPr>
          <w:b w:val="on"/>
          <w:sz w:val="20"/>
        </w:rPr>
        <w:t xml:space="preserve">Provenance des fournitures : </w:t>
      </w:r>
      <w:r>
        <w:rPr>
          <w:sz w:val="20"/>
        </w:rPr>
        <w:t>NATIONAL</w:t>
      </w:r>
    </w:p>
    <w:p>
      <w:pPr>
        <w:spacing w:after="40"/>
      </w:pPr>
      <w:r>
        <w:rPr>
          <w:b w:val="on"/>
          <w:sz w:val="20"/>
        </w:rPr>
        <w:t xml:space="preserve">Décomposition des prix des fournitures nationales (EXW hors TVA, transports intérieurs, assurance, services) : </w:t>
      </w:r>
      <w:r>
        <w:rPr>
          <w:sz w:val="20"/>
        </w:rPr>
        <w:t>Pour les Fournitures acquises sur le territoire national, le prix comprend : i) le prix des fournitures EXW, (magasin de ventes) ; ii) le prix des transports intérieurs, assurance et autres services locaux afférents à la livraison des fournitures jusqu’à leur destination finale.</w:t>
      </w:r>
    </w:p>
    <w:p>
      <w:pPr>
        <w:spacing w:after="60"/>
        <w:jc w:val="left"/>
      </w:pPr>
      <w:r>
        <w:rPr>
          <w:b w:val="on"/>
          <w:sz w:val="22"/>
        </w:rPr>
        <w:t>Garantie de soumission</w:t>
      </w:r>
    </w:p>
    <w:p>
      <w:pPr>
        <w:spacing w:after="40"/>
      </w:pPr>
      <w:r>
        <w:rPr>
          <w:b w:val="on"/>
          <w:sz w:val="20"/>
        </w:rPr>
        <w:t xml:space="preserve">Garantie de soumission exigée : </w:t>
      </w:r>
      <w:r>
        <w:rPr>
          <w:sz w:val="20"/>
        </w:rPr>
        <w:t>Oui</w:t>
      </w:r>
    </w:p>
    <w:p>
      <w:pPr>
        <w:spacing w:after="40"/>
      </w:pPr>
      <w:r>
        <w:rPr>
          <w:b w:val="on"/>
          <w:sz w:val="20"/>
        </w:rPr>
        <w:t xml:space="preserve">Forme de la garantie de soumission : </w:t>
      </w:r>
      <w:r>
        <w:rPr>
          <w:sz w:val="20"/>
        </w:rPr>
        <w:t>Une garantie de soumission doit être fournie dans l'une des formes suivantes :</w:t>
        <w:br/>
        <w:t>– soit une caution personnelle et solidaire d'un organisme agréé par le MEF</w:t>
        <w:br/>
        <w:t>– soit une garantie bancaire</w:t>
        <w:br/>
        <w:t>– soit un chèque de banque</w:t>
      </w:r>
    </w:p>
    <w:p>
      <w:pPr>
        <w:spacing w:after="60"/>
        <w:jc w:val="left"/>
      </w:pPr>
      <w:r>
        <w:rPr>
          <w:b w:val="on"/>
          <w:sz w:val="22"/>
        </w:rPr>
        <w:t>Type de prix</w:t>
      </w:r>
    </w:p>
    <w:p>
      <w:pPr>
        <w:spacing w:after="40"/>
      </w:pPr>
      <w:r>
        <w:rPr>
          <w:b w:val="on"/>
          <w:sz w:val="20"/>
        </w:rPr>
        <w:t xml:space="preserve">Type de prix : </w:t>
      </w:r>
      <w:r>
        <w:rPr>
          <w:sz w:val="20"/>
        </w:rPr>
        <w:t>UNITAIRES</w:t>
      </w:r>
    </w:p>
    <w:p>
      <w:pPr>
        <w:spacing w:after="40"/>
      </w:pPr>
      <w:r>
        <w:rPr>
          <w:b w:val="on"/>
          <w:sz w:val="20"/>
        </w:rPr>
        <w:t xml:space="preserve">Montant minimum annuel du marché (Ariary) : </w:t>
      </w:r>
      <w:r>
        <w:rPr>
          <w:sz w:val="20"/>
        </w:rPr>
        <w:t>40 000 000 Ariary (quarante millions ariary)</w:t>
      </w:r>
    </w:p>
    <w:p>
      <w:pPr>
        <w:spacing w:after="40"/>
      </w:pPr>
      <w:r>
        <w:rPr>
          <w:b w:val="on"/>
          <w:sz w:val="20"/>
        </w:rPr>
        <w:t xml:space="preserve">Montant maximum annuel du marché (Ariary) : </w:t>
      </w:r>
      <w:r>
        <w:rPr>
          <w:sz w:val="20"/>
        </w:rPr>
        <w:t>80 000 000 Ariary (quatre-vingts millions ariary)</w:t>
      </w:r>
    </w:p>
    <w:p>
      <w:pPr>
        <w:spacing w:after="120"/>
        <w:jc w:val="left"/>
      </w:pPr>
      <w:r>
        <w:rPr>
          <w:b w:val="on"/>
          <w:sz w:val="26"/>
        </w:rPr>
        <w:t>Paiements, avances &amp; garanties financières</w:t>
      </w:r>
    </w:p>
    <w:p>
      <w:pPr>
        <w:spacing w:after="60"/>
        <w:jc w:val="left"/>
      </w:pPr>
      <w:r>
        <w:rPr>
          <w:b w:val="on"/>
          <w:sz w:val="22"/>
        </w:rPr>
        <w:t>Paiements</w:t>
      </w:r>
    </w:p>
    <w:p>
      <w:pPr>
        <w:spacing w:after="40"/>
      </w:pPr>
      <w:r>
        <w:rPr>
          <w:b w:val="on"/>
          <w:sz w:val="20"/>
        </w:rPr>
        <w:t xml:space="preserve">Domiciliation bancaire du fournisseur : </w:t>
      </w:r>
      <w:r>
        <w:rPr>
          <w:sz w:val="20"/>
        </w:rPr>
        <w:t>L'Acheteur se libérera des sommes dues au titre du présent marché en en faisant porter le montant au crédit du compte bancaire indiqué par le fournisseur à l'acte d'engagement : titulaire du compte, établissement bancaire, agence, numéro de compte, code.</w:t>
      </w:r>
    </w:p>
    <w:p>
      <w:pPr>
        <w:spacing w:after="60"/>
        <w:jc w:val="left"/>
      </w:pPr>
      <w:r>
        <w:rPr>
          <w:b w:val="on"/>
          <w:sz w:val="22"/>
        </w:rPr>
        <w:t>Avance</w:t>
      </w:r>
    </w:p>
    <w:p>
      <w:pPr>
        <w:spacing w:after="40"/>
      </w:pPr>
      <w:r>
        <w:rPr>
          <w:b w:val="on"/>
          <w:sz w:val="20"/>
        </w:rPr>
        <w:t xml:space="preserve">Avance accordée : </w:t>
      </w:r>
      <w:r>
        <w:rPr>
          <w:sz w:val="20"/>
        </w:rPr>
        <w:t>Oui</w:t>
      </w:r>
    </w:p>
    <w:p>
      <w:pPr>
        <w:spacing w:after="40"/>
      </w:pPr>
      <w:r>
        <w:rPr>
          <w:b w:val="on"/>
          <w:sz w:val="20"/>
        </w:rPr>
        <w:t xml:space="preserve">Taux de l'avance (%) : </w:t>
      </w:r>
      <w:r>
        <w:rPr>
          <w:sz w:val="20"/>
        </w:rPr>
        <w:t>20 %</w:t>
      </w:r>
    </w:p>
    <w:p>
      <w:pPr>
        <w:spacing w:after="120"/>
        <w:jc w:val="left"/>
      </w:pPr>
      <w:r>
        <w:rPr>
          <w:b w:val="on"/>
          <w:sz w:val="26"/>
        </w:rPr>
        <w:t>Exécution du marché &amp; livraison</w:t>
      </w:r>
    </w:p>
    <w:p>
      <w:pPr>
        <w:spacing w:after="60"/>
        <w:jc w:val="left"/>
      </w:pPr>
      <w:r>
        <w:rPr>
          <w:b w:val="on"/>
          <w:sz w:val="22"/>
        </w:rPr>
        <w:t>Lieu de livraison</w:t>
      </w:r>
    </w:p>
    <w:p>
      <w:pPr>
        <w:spacing w:after="40"/>
      </w:pPr>
      <w:r>
        <w:rPr>
          <w:b w:val="on"/>
          <w:sz w:val="20"/>
        </w:rPr>
        <w:t xml:space="preserve">Lieu de livraison : </w:t>
      </w:r>
      <w:r>
        <w:rPr>
          <w:sz w:val="20"/>
        </w:rPr>
        <w:t>AMBATONDRAZAKA</w:t>
      </w:r>
    </w:p>
    <w:p>
      <w:pPr>
        <w:spacing w:after="60"/>
        <w:jc w:val="left"/>
      </w:pPr>
      <w:r>
        <w:rPr>
          <w:b w:val="on"/>
          <w:sz w:val="22"/>
        </w:rPr>
        <w:t>Ordres de modification et avenants</w:t>
      </w:r>
    </w:p>
    <w:p>
      <w:pPr>
        <w:spacing w:after="40"/>
      </w:pPr>
      <w:r>
        <w:rPr>
          <w:b w:val="on"/>
          <w:sz w:val="20"/>
        </w:rPr>
        <w:t xml:space="preserve">Variation maximale des volumes ou quantités (%) : </w:t>
      </w:r>
      <w:r>
        <w:rPr>
          <w:sz w:val="20"/>
        </w:rPr>
        <w:t>20 %</w:t>
      </w:r>
    </w:p>
    <w:p>
      <w:pPr>
        <w:spacing w:after="60"/>
        <w:jc w:val="left"/>
      </w:pPr>
      <w:r>
        <w:rPr>
          <w:b w:val="on"/>
          <w:sz w:val="22"/>
        </w:rPr>
        <w:t>Délai d'exécution</w:t>
      </w:r>
    </w:p>
    <w:p>
      <w:pPr>
        <w:spacing w:after="40"/>
      </w:pPr>
      <w:r>
        <w:rPr>
          <w:b w:val="on"/>
          <w:sz w:val="20"/>
        </w:rPr>
        <w:t xml:space="preserve">Délai d'exécution (jours) : </w:t>
      </w:r>
      <w:r>
        <w:rPr>
          <w:sz w:val="20"/>
        </w:rPr>
        <w:t>30</w:t>
      </w:r>
    </w:p>
    <w:p>
      <w:pPr>
        <w:spacing w:after="60"/>
        <w:jc w:val="left"/>
      </w:pPr>
      <w:r>
        <w:rPr>
          <w:b w:val="on"/>
          <w:sz w:val="22"/>
        </w:rPr>
        <w:t>Pièces contractuelles</w:t>
      </w:r>
    </w:p>
    <w:p>
      <w:pPr>
        <w:spacing w:after="40"/>
      </w:pPr>
      <w:r>
        <w:rPr>
          <w:b w:val="on"/>
          <w:sz w:val="20"/>
        </w:rPr>
        <w:t xml:space="preserve">Annexes de l'acte d'engagement (cadre du bordereau de prix, état des sommes versées à des tiers, déclaration des bénéficiaires effectifs) : </w:t>
      </w:r>
      <w:r>
        <w:rPr>
          <w:sz w:val="20"/>
        </w:rPr>
        <w:t>Annexe n° 1 : cadre du bordereau de prix. Annexe n° 2 : état des sommes versées à des tiers. Annexe n° 3 : formulaire de déclaration des bénéficiaires effectifs.</w:t>
      </w:r>
    </w:p>
    <w:sectPr>
      <w:footerReference w:type="default" r:id="rId2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sz w:val="16"/>
      </w:rPr>
      <w:t>Plan 00001/PPM-AGPM/CNM/2026 · ligne 303092 · fiche marché version 1 validée le 26/09/2026</w:t>
    </w:r>
  </w:p>
</w:ftr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oter1.xml" Type="http://schemas.openxmlformats.org/officeDocument/2006/relationships/foot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2026-09-26T16:43:40Z</dcterms:created>
  <dc:creator>Apache POI</dc:creator>
</cp:coreProperties>
</file>