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20"/>
        <w:jc w:val="center"/>
      </w:pPr>
      <w:r>
        <w:rPr>
          <w:b w:val="on"/>
          <w:sz w:val="32"/>
        </w:rPr>
        <w:t>Données particulières de l'appel d'offres</w:t>
      </w:r>
    </w:p>
    <w:p>
      <w:pPr>
        <w:spacing w:after="240"/>
        <w:jc w:val="center"/>
      </w:pPr>
      <w:r>
        <w:rPr>
          <w:b w:val="off"/>
          <w:sz w:val="24"/>
        </w:rPr>
        <w:t>Fourniture et livraison des matériels informatiques répartis en cinq (5) lots (à commande)</w:t>
      </w:r>
    </w:p>
    <w:p>
      <w:pPr>
        <w:spacing w:after="120"/>
        <w:jc w:val="left"/>
      </w:pPr>
      <w:r>
        <w:rPr>
          <w:b w:val="on"/>
          <w:sz w:val="26"/>
        </w:rPr>
        <w:t>Identification &amp; données du PPM</w:t>
      </w:r>
    </w:p>
    <w:p>
      <w:pPr>
        <w:spacing w:after="60"/>
        <w:jc w:val="left"/>
      </w:pPr>
      <w:r>
        <w:rPr>
          <w:b w:val="on"/>
          <w:sz w:val="22"/>
        </w:rPr>
        <w:t>Acheteur</w:t>
      </w:r>
    </w:p>
    <w:p>
      <w:pPr>
        <w:spacing w:after="40"/>
      </w:pPr>
      <w:r>
        <w:rPr>
          <w:b w:val="on"/>
          <w:sz w:val="20"/>
        </w:rPr>
        <w:t xml:space="preserve">Autorité contractante : </w:t>
      </w:r>
      <w:r>
        <w:rPr>
          <w:sz w:val="20"/>
        </w:rPr>
        <w:t>MINISTERE DE L'ENSEIGNEMENT SUPERIEUR ET DE LA RECHERCHE SCIENTIFIQUE</w:t>
      </w:r>
    </w:p>
    <w:p>
      <w:pPr>
        <w:spacing w:after="40"/>
      </w:pPr>
      <w:r>
        <w:rPr>
          <w:b w:val="on"/>
          <w:sz w:val="20"/>
        </w:rPr>
        <w:t xml:space="preserve">Adresse de l'autorité contractante : </w:t>
      </w:r>
      <w:r>
        <w:rPr>
          <w:sz w:val="20"/>
        </w:rPr>
        <w:t>Fiadanana, 2ème étage porte 204 — Antananarivo 101</w:t>
      </w:r>
    </w:p>
    <w:p>
      <w:pPr>
        <w:spacing w:after="40"/>
      </w:pPr>
      <w:r>
        <w:rPr>
          <w:b w:val="on"/>
          <w:sz w:val="20"/>
        </w:rPr>
        <w:t xml:space="preserve">Ministère ou organisme de rattachement : </w:t>
      </w:r>
      <w:r>
        <w:rPr>
          <w:sz w:val="20"/>
        </w:rPr>
        <w:t>Ministère de l'Économie et des Finances</w:t>
      </w:r>
    </w:p>
    <w:p>
      <w:pPr>
        <w:spacing w:after="40"/>
      </w:pPr>
      <w:r>
        <w:rPr>
          <w:b w:val="on"/>
          <w:sz w:val="20"/>
        </w:rPr>
        <w:t xml:space="preserve">Commission des marchés compétente : </w:t>
      </w:r>
      <w:r>
        <w:rPr>
          <w:sz w:val="20"/>
        </w:rPr>
        <w:t>Centrale</w:t>
      </w:r>
    </w:p>
    <w:p>
      <w:pPr>
        <w:spacing w:after="40"/>
      </w:pPr>
      <w:r>
        <w:rPr>
          <w:b w:val="on"/>
          <w:sz w:val="20"/>
        </w:rPr>
        <w:t xml:space="preserve">Personne responsable des marchés publics : </w:t>
      </w:r>
      <w:r>
        <w:rPr>
          <w:sz w:val="20"/>
        </w:rPr>
        <w:t>LERAVO Norbert Fidelys</w:t>
      </w:r>
    </w:p>
    <w:p>
      <w:pPr>
        <w:spacing w:after="40"/>
      </w:pPr>
      <w:r>
        <w:rPr>
          <w:b w:val="on"/>
          <w:sz w:val="20"/>
        </w:rPr>
        <w:t xml:space="preserve">Courriel de la PRMP : </w:t>
      </w:r>
      <w:r>
        <w:rPr>
          <w:sz w:val="20"/>
        </w:rPr>
        <w:t>prmp.mesupres@gmail.com</w:t>
      </w:r>
    </w:p>
    <w:p>
      <w:pPr>
        <w:spacing w:after="40"/>
      </w:pPr>
      <w:r>
        <w:rPr>
          <w:b w:val="on"/>
          <w:sz w:val="20"/>
        </w:rPr>
        <w:t xml:space="preserve">Téléphone de la PRMP : </w:t>
      </w:r>
      <w:r>
        <w:rPr>
          <w:sz w:val="20"/>
        </w:rPr>
        <w:t>[H] non fourni</w:t>
      </w:r>
    </w:p>
    <w:p>
      <w:pPr>
        <w:spacing w:after="40"/>
      </w:pPr>
      <w:r>
        <w:rPr>
          <w:b w:val="on"/>
          <w:sz w:val="20"/>
        </w:rPr>
        <w:t xml:space="preserve">Référence du plan de passation : </w:t>
      </w:r>
      <w:r>
        <w:rPr>
          <w:sz w:val="20"/>
        </w:rPr>
        <w:t>00001/MESupReS/PPM-AGPM/2026</w:t>
      </w:r>
    </w:p>
    <w:p>
      <w:pPr>
        <w:spacing w:after="40"/>
      </w:pPr>
      <w:r>
        <w:rPr>
          <w:b w:val="on"/>
          <w:sz w:val="20"/>
        </w:rPr>
        <w:t xml:space="preserve">Exercice budgétaire : </w:t>
      </w:r>
      <w:r>
        <w:rPr>
          <w:sz w:val="20"/>
        </w:rPr>
        <w:t>2026</w:t>
      </w:r>
    </w:p>
    <w:p>
      <w:pPr>
        <w:spacing w:after="40"/>
      </w:pPr>
      <w:r>
        <w:rPr>
          <w:b w:val="on"/>
          <w:sz w:val="20"/>
        </w:rPr>
        <w:t xml:space="preserve">Nature du marché : </w:t>
      </w:r>
      <w:r>
        <w:rPr>
          <w:sz w:val="20"/>
        </w:rPr>
        <w:t>Fournitures</w:t>
      </w:r>
    </w:p>
    <w:p>
      <w:pPr>
        <w:spacing w:after="40"/>
      </w:pPr>
      <w:r>
        <w:rPr>
          <w:b w:val="on"/>
          <w:sz w:val="20"/>
        </w:rPr>
        <w:t xml:space="preserve">Mode de passation : </w:t>
      </w:r>
      <w:r>
        <w:rPr>
          <w:sz w:val="20"/>
        </w:rPr>
        <w:t>Appel d'offres ouvert</w:t>
      </w:r>
    </w:p>
    <w:p>
      <w:pPr>
        <w:spacing w:after="40"/>
      </w:pPr>
      <w:r>
        <w:rPr>
          <w:b w:val="on"/>
          <w:sz w:val="20"/>
        </w:rPr>
        <w:t xml:space="preserve">Montant estimatif (Ariary) : </w:t>
      </w:r>
      <w:r>
        <w:rPr>
          <w:sz w:val="20"/>
        </w:rPr>
        <w:t>457 000 000 Ariary (quatre cent cinquante-sept millions ariary)</w:t>
      </w:r>
    </w:p>
    <w:p>
      <w:pPr>
        <w:spacing w:after="40"/>
      </w:pPr>
      <w:r>
        <w:rPr>
          <w:b w:val="on"/>
          <w:sz w:val="20"/>
        </w:rPr>
        <w:t xml:space="preserve">Source de financement : </w:t>
      </w:r>
      <w:r>
        <w:rPr>
          <w:sz w:val="20"/>
        </w:rPr>
        <w:t>RPI</w:t>
      </w:r>
    </w:p>
    <w:p>
      <w:pPr>
        <w:spacing w:after="40"/>
      </w:pPr>
      <w:r>
        <w:rPr>
          <w:b w:val="on"/>
          <w:sz w:val="20"/>
        </w:rPr>
        <w:t xml:space="preserve">Dates prévisionnelles (calendrier de passation) : </w:t>
      </w:r>
      <w:r>
        <w:rPr>
          <w:sz w:val="20"/>
        </w:rPr>
        <w:t>Détermination des besoins : recueil et centralisation des besoins en travaux, prestations de services, fournitures… : 2026-06-01 → 2026-06-15 ; Élaboration et publication de l'avis général de passation des marchés et du calendrier annuel de passation des marchés : 2026-06-16 → 2026-06-30 ; Choix de la procédure : allotissement éventuel — forme du marché : 2026-07-01 → 2026-07-07 ; Établissement du DAO/DC : sur la base du « cahier de charges » et spécifications particulières/TDR et autres annexes ou note d'information aux consultants/lettre d'invitation/CCAG/CCAP… : 2026-07-08 → 2026-08-28 ; Transmission du DAO/DC à la CNM pour examen et avis : 2026-08-31 → 2026-09-02 ; Examen et avis de la CNM : 2026-09-03 → 2026-09-17 ; Établissement du PV de la CNM : 2026-09-18 → 2026-09-22 ; Signature du PV de la CNM : 2026-09-23 → 2026-09-25 ; Remise en forme du DAO/DC : 2026-09-28 → 2026-10-08 ; Lancement du DAO/DC : avis spécifique d'appel public à la concurrence : 2026-10-09 → 2026-10-12 ; Remise des offres : propositions : 2026-10-12 → 2026-11-09 ; Ouverture des plis : 2026-11-09 → 2026-11-10 ; Évaluation et classement des offres : 2026-11-10 → 2026-11-18 ; Rédaction et signature des PV d'ouverture des plis et d'évaluation techniques des offres : 2026-11-19 → 2026-11-20 ; Établissement du projet de marché : 2026-11-23 → 2026-11-25 ; Transmission du projet de marché (avec note de présentation, PV d'ouverture des plis et évaluation des offres) à la CNM : 2026-11-26 → 2026-11-27 ; Examen des dossiers par la CNM : 2026-11-30 → 2026-12-04 ; Établissement du PV de la CNM : 2026-12-07 → 2026-12-08 ; Signature du PV de la CNM : 2026-12-08 → 2026-12-09 ; Remise en forme du projet de marché : 2026-12-09 → 2026-12-10 ; Décision d'attribution de marché : 2026-12-10 → 2026-12-11 ; Information des candidats non retenus : 2026-12-14 → 2026-12-15 ; Mise au point des composants du marché et signature du marché : 2026-12-16 → 2027-01-08 ; Visa du marché par le Contrôleur financier : 2027-01-11 → 2027-01-15 ; Approbation du marché : 2027-01-18 → 2027-01-22 ; Enregistrement : 2027-01-25 → 2027-01-27 ; Notification du marché au titulaire : 2027-01-28 → 2027-01-29 ; Exécution du marché : 2027-02-01 → 2028-01-31</w:t>
      </w:r>
    </w:p>
    <w:p>
      <w:pPr>
        <w:spacing w:after="40"/>
      </w:pPr>
      <w:r>
        <w:rPr>
          <w:b w:val="on"/>
          <w:sz w:val="20"/>
        </w:rPr>
        <w:t xml:space="preserve">Forme du marché : </w:t>
      </w:r>
      <w:r>
        <w:rPr>
          <w:sz w:val="20"/>
        </w:rPr>
        <w:t>Marché à commande</w:t>
      </w:r>
    </w:p>
    <w:p>
      <w:pPr>
        <w:spacing w:after="120"/>
        <w:jc w:val="left"/>
      </w:pPr>
      <w:r>
        <w:rPr>
          <w:b w:val="on"/>
          <w:sz w:val="26"/>
        </w:rPr>
        <w:t>Objet, allotissement &amp; forme du marché</w:t>
      </w:r>
    </w:p>
    <w:p>
      <w:pPr>
        <w:spacing w:after="60"/>
        <w:jc w:val="left"/>
      </w:pPr>
      <w:r>
        <w:rPr>
          <w:b w:val="on"/>
          <w:sz w:val="22"/>
        </w:rPr>
        <w:t>Objet de l'appel d'offres</w:t>
      </w:r>
    </w:p>
    <w:p>
      <w:pPr>
        <w:spacing w:after="40"/>
      </w:pPr>
      <w:r>
        <w:rPr>
          <w:b w:val="on"/>
          <w:sz w:val="20"/>
        </w:rPr>
        <w:t xml:space="preserve">Objet de l'appel d'offres : </w:t>
      </w:r>
      <w:r>
        <w:rPr>
          <w:sz w:val="20"/>
        </w:rPr>
        <w:t>Fourniture et livraison des matériels informatiques répartis en cinq (5) lots (à commande)</w:t>
      </w:r>
    </w:p>
    <w:p>
      <w:pPr>
        <w:spacing w:after="40"/>
      </w:pPr>
      <w:r>
        <w:rPr>
          <w:b w:val="on"/>
          <w:sz w:val="20"/>
        </w:rPr>
        <w:t xml:space="preserve">Type de fournitures à livrer et services connexes à réaliser : </w:t>
      </w:r>
      <w:r>
        <w:rPr>
          <w:sz w:val="20"/>
        </w:rPr>
        <w:t>L'appel d'offres porte sur un marché à commandes des matériels et mobiliers de logements dont les quantités minimales et maximales sont spécifiées au Cahier des Prescriptions Spéciales, et pour une durée de validité de douze (12) mois.</w:t>
      </w:r>
    </w:p>
    <w:p>
      <w:pPr>
        <w:spacing w:after="40"/>
      </w:pPr>
      <w:r>
        <w:rPr>
          <w:b w:val="on"/>
          <w:sz w:val="20"/>
        </w:rPr>
        <w:t xml:space="preserve">Numéro du dossier d'appel d'offres : </w:t>
      </w:r>
      <w:r>
        <w:rPr>
          <w:sz w:val="20"/>
        </w:rPr>
        <w:t>AOO n° 2463-MI/MESupReS/PRMP/UGPM.2026</w:t>
      </w:r>
    </w:p>
    <w:p>
      <w:pPr>
        <w:spacing w:after="60"/>
        <w:jc w:val="left"/>
      </w:pPr>
      <w:r>
        <w:rPr>
          <w:b w:val="on"/>
          <w:sz w:val="22"/>
        </w:rPr>
        <w:t>Lots et variantes</w:t>
      </w:r>
    </w:p>
    <w:p>
      <w:pPr>
        <w:spacing w:after="40"/>
      </w:pPr>
      <w:r>
        <w:rPr>
          <w:b w:val="on"/>
          <w:sz w:val="20"/>
        </w:rPr>
        <w:t xml:space="preserve">Nombre de lots du plan : </w:t>
      </w:r>
      <w:r>
        <w:rPr>
          <w:sz w:val="20"/>
        </w:rPr>
        <w:t>5</w:t>
      </w:r>
    </w:p>
    <w:p>
      <w:pPr>
        <w:spacing w:after="40"/>
      </w:pPr>
      <w:r>
        <w:rPr>
          <w:b w:val="on"/>
          <w:sz w:val="20"/>
        </w:rPr>
        <w:t xml:space="preserve">Désignation des lots du plan : </w:t>
      </w:r>
      <w:r>
        <w:rPr>
          <w:sz w:val="20"/>
        </w:rPr>
        <w:t>ORDINATEURS ET DIVERS POUR LE MINISTERE ; ORDINATEUR POUR AMBATONDRAZAKA ; DIVERS MATERIELS POUR AMBATONDRAZAKA ; ORDINATEUR POUR FORT DAUPHIN ; DIVERS MATERIELS POUR FORT DAUPHIN</w:t>
      </w:r>
    </w:p>
    <w:p>
      <w:pPr>
        <w:spacing w:after="40"/>
      </w:pPr>
      <w:r>
        <w:rPr>
          <w:b w:val="on"/>
          <w:sz w:val="20"/>
        </w:rPr>
        <w:t xml:space="preserve">Montant par lot (Ariary) : </w:t>
      </w:r>
      <w:r>
        <w:rPr>
          <w:sz w:val="20"/>
        </w:rPr>
        <w:t>ORDINATEURS ET DIVERS POUR LE MINISTERE : 80 000 000 ; ORDINATEUR POUR AMBATONDRAZAKA : 108 500 000 ; DIVERS MATERIELS POUR AMBATONDRAZAKA : 80 000 000 ; ORDINATEUR POUR FORT DAUPHIN : 108 500 000 ; DIVERS MATERIELS POUR FORT DAUPHIN : 80 000 000</w:t>
      </w:r>
    </w:p>
    <w:p>
      <w:pPr>
        <w:spacing w:after="40"/>
      </w:pPr>
      <w:r>
        <w:rPr>
          <w:b w:val="on"/>
          <w:sz w:val="20"/>
        </w:rPr>
        <w:t xml:space="preserve">Marché alloti : </w:t>
      </w:r>
      <w:r>
        <w:rPr>
          <w:sz w:val="20"/>
        </w:rPr>
        <w:t>Oui</w:t>
      </w:r>
    </w:p>
    <w:p>
      <w:pPr>
        <w:spacing w:after="40"/>
      </w:pPr>
      <w:r>
        <w:rPr>
          <w:b w:val="on"/>
          <w:sz w:val="20"/>
        </w:rPr>
        <w:t xml:space="preserve">Nombre de lots : </w:t>
      </w:r>
      <w:r>
        <w:rPr>
          <w:sz w:val="20"/>
        </w:rPr>
        <w:t>5</w:t>
      </w:r>
    </w:p>
    <w:p>
      <w:pPr>
        <w:spacing w:after="40"/>
      </w:pPr>
      <w:r>
        <w:rPr>
          <w:b w:val="on"/>
          <w:sz w:val="20"/>
        </w:rPr>
        <w:t xml:space="preserve">Variantes admises : </w:t>
      </w:r>
      <w:r>
        <w:rPr>
          <w:sz w:val="20"/>
        </w:rPr>
        <w:t>Non</w:t>
      </w:r>
    </w:p>
    <w:p>
      <w:pPr>
        <w:spacing w:after="60"/>
        <w:jc w:val="left"/>
      </w:pPr>
      <w:r>
        <w:rPr>
          <w:b w:val="on"/>
          <w:sz w:val="22"/>
        </w:rPr>
        <w:t>Autres éléments du bloc</w:t>
      </w:r>
    </w:p>
    <w:p>
      <w:pPr>
        <w:spacing w:after="40"/>
      </w:pPr>
      <w:r>
        <w:rPr>
          <w:b w:val="on"/>
          <w:sz w:val="20"/>
        </w:rPr>
        <w:t xml:space="preserve">Attribution des lots : </w:t>
      </w:r>
      <w:r>
        <w:rPr>
          <w:sz w:val="20"/>
        </w:rPr>
        <w:t>Lot par lot (attribution divisible)</w:t>
      </w:r>
    </w:p>
    <w:p>
      <w:pPr>
        <w:spacing w:after="40"/>
      </w:pPr>
      <w:r>
        <w:rPr>
          <w:b w:val="on"/>
          <w:sz w:val="20"/>
        </w:rPr>
        <w:t xml:space="preserve">Durée de validité du marché à commande (mois) : </w:t>
      </w:r>
      <w:r>
        <w:rPr>
          <w:sz w:val="20"/>
        </w:rPr>
        <w:t>12</w:t>
      </w:r>
    </w:p>
    <w:p>
      <w:pPr>
        <w:spacing w:after="40"/>
      </w:pPr>
      <w:r>
        <w:rPr>
          <w:b w:val="on"/>
          <w:sz w:val="20"/>
        </w:rPr>
        <w:t xml:space="preserve">Nombre maximum de lots attribuables à un même candidat : </w:t>
      </w:r>
      <w:r>
        <w:rPr>
          <w:sz w:val="20"/>
        </w:rPr>
        <w:t>2</w:t>
      </w:r>
    </w:p>
    <w:p>
      <w:pPr>
        <w:spacing w:after="120"/>
        <w:jc w:val="left"/>
      </w:pPr>
      <w:r>
        <w:rPr>
          <w:b w:val="on"/>
          <w:sz w:val="26"/>
        </w:rPr>
        <w:t>Candidats : groupement, sous-traitance, qualifications</w:t>
      </w:r>
    </w:p>
    <w:p>
      <w:pPr>
        <w:spacing w:after="60"/>
        <w:jc w:val="left"/>
      </w:pPr>
      <w:r>
        <w:rPr>
          <w:b w:val="on"/>
          <w:sz w:val="22"/>
        </w:rPr>
        <w:t>Groupement</w:t>
      </w:r>
    </w:p>
    <w:p>
      <w:pPr>
        <w:spacing w:after="40"/>
      </w:pPr>
      <w:r>
        <w:rPr>
          <w:b w:val="on"/>
          <w:sz w:val="20"/>
        </w:rPr>
        <w:t xml:space="preserve">Groupement autorisé : </w:t>
      </w:r>
      <w:r>
        <w:rPr>
          <w:sz w:val="20"/>
        </w:rPr>
        <w:t>Non</w:t>
      </w:r>
    </w:p>
    <w:p>
      <w:pPr>
        <w:spacing w:after="60"/>
        <w:jc w:val="left"/>
      </w:pPr>
      <w:r>
        <w:rPr>
          <w:b w:val="on"/>
          <w:sz w:val="22"/>
        </w:rPr>
        <w:t>Capacité et qualifications des candidats</w:t>
      </w:r>
    </w:p>
    <w:p>
      <w:pPr>
        <w:spacing w:after="40"/>
      </w:pPr>
      <w:r>
        <w:rPr>
          <w:b w:val="on"/>
          <w:sz w:val="20"/>
        </w:rPr>
        <w:t xml:space="preserve">Identification et situation juridique : pièces exigées : </w:t>
      </w:r>
      <w:r>
        <w:rPr>
          <w:sz w:val="20"/>
        </w:rPr>
        <w:t>Photocopie certifiée conforme à l'original de la Carte d'Immatriculation Fiscale 2026 ou 2025 validée, datée de moins de 3 mois ; photocopie certifiée conforme à l'original de l'Extrait du Registre de Commerce daté de moins de 3 mois ; carte statistique, photocopie certifiée conforme à l'original, datée de moins de 3 mois ; certificat de non faillite daté de moins de 3 mois.</w:t>
      </w:r>
    </w:p>
    <w:p>
      <w:pPr>
        <w:spacing w:after="40"/>
      </w:pPr>
      <w:r>
        <w:rPr>
          <w:b w:val="on"/>
          <w:sz w:val="20"/>
        </w:rPr>
        <w:t xml:space="preserve">Capacité technique exigée : </w:t>
      </w:r>
      <w:r>
        <w:rPr>
          <w:sz w:val="20"/>
        </w:rPr>
        <w:t>Une fiche de renseignements relative à sa capacité technique (modèle A2), signée avec la mention « certifiée exacte et sincère ».</w:t>
      </w:r>
    </w:p>
    <w:p>
      <w:pPr>
        <w:spacing w:after="40"/>
      </w:pPr>
      <w:r>
        <w:rPr>
          <w:b w:val="on"/>
          <w:sz w:val="20"/>
        </w:rPr>
        <w:t xml:space="preserve">Capacité financière exigée : </w:t>
      </w:r>
      <w:r>
        <w:rPr>
          <w:sz w:val="20"/>
        </w:rPr>
        <w:t>Une fiche de renseignements relative à sa capacité financière (modèle A3), signée avec la mention « certifiée exacte et sincère ».</w:t>
      </w:r>
    </w:p>
    <w:p>
      <w:pPr>
        <w:spacing w:after="40"/>
      </w:pPr>
      <w:r>
        <w:rPr>
          <w:b w:val="on"/>
          <w:sz w:val="20"/>
        </w:rPr>
        <w:t xml:space="preserve">Marchés similaires : certificats de bonne fin ou PV de réception exigés : </w:t>
      </w:r>
      <w:r>
        <w:rPr>
          <w:sz w:val="20"/>
        </w:rPr>
        <w:t>Non exigé : la clause 6.3 du DPAO ne demande que les fiches d'identification, de capacité technique et de capacité financière.</w:t>
      </w:r>
    </w:p>
    <w:p>
      <w:pPr>
        <w:spacing w:after="40"/>
      </w:pPr>
      <w:r>
        <w:rPr>
          <w:b w:val="on"/>
          <w:sz w:val="20"/>
        </w:rPr>
        <w:t xml:space="preserve">Autorisation du fabricant exigée : </w:t>
      </w:r>
      <w:r>
        <w:rPr>
          <w:sz w:val="20"/>
        </w:rPr>
        <w:t>Non</w:t>
      </w:r>
    </w:p>
    <w:p>
      <w:pPr>
        <w:spacing w:after="40"/>
      </w:pPr>
      <w:r>
        <w:rPr>
          <w:b w:val="on"/>
          <w:sz w:val="20"/>
        </w:rPr>
        <w:t xml:space="preserve">Qualifications particulières exigées : </w:t>
      </w:r>
      <w:r>
        <w:rPr>
          <w:sz w:val="20"/>
        </w:rPr>
        <w:t>Aucune qualification particulière au-delà des pièces de la clause 6.1 et des fiches de la clause 6.3 du DPAO.</w:t>
      </w:r>
    </w:p>
    <w:p>
      <w:pPr>
        <w:spacing w:after="40"/>
      </w:pPr>
      <w:r>
        <w:rPr>
          <w:b w:val="on"/>
          <w:sz w:val="20"/>
        </w:rPr>
        <w:t xml:space="preserve">Communautés locales et ONG admises à candidater : </w:t>
      </w:r>
      <w:r>
        <w:rPr>
          <w:sz w:val="20"/>
        </w:rPr>
        <w:t>Non prévu par le DPAO.</w:t>
      </w:r>
    </w:p>
    <w:p>
      <w:pPr>
        <w:spacing w:after="40"/>
      </w:pPr>
      <w:r>
        <w:rPr>
          <w:b w:val="on"/>
          <w:sz w:val="20"/>
        </w:rPr>
        <w:t xml:space="preserve">Préférence nationale accordée : </w:t>
      </w:r>
      <w:r>
        <w:rPr>
          <w:sz w:val="20"/>
        </w:rPr>
        <w:t>Non</w:t>
      </w:r>
    </w:p>
    <w:p>
      <w:pPr>
        <w:spacing w:after="40"/>
      </w:pPr>
      <w:r>
        <w:rPr>
          <w:b w:val="on"/>
          <w:sz w:val="20"/>
        </w:rPr>
        <w:t xml:space="preserve">Durée des antécédents juridiques (années) : </w:t>
      </w:r>
      <w:r>
        <w:rPr>
          <w:sz w:val="20"/>
        </w:rPr>
        <w:t>5</w:t>
      </w:r>
    </w:p>
    <w:p>
      <w:pPr>
        <w:spacing w:after="40"/>
      </w:pPr>
      <w:r>
        <w:rPr>
          <w:b w:val="on"/>
          <w:sz w:val="20"/>
        </w:rPr>
        <w:t xml:space="preserve">Durée des antécédents financiers (années) : </w:t>
      </w:r>
      <w:r>
        <w:rPr>
          <w:sz w:val="20"/>
        </w:rPr>
        <w:t>3</w:t>
      </w:r>
    </w:p>
    <w:p>
      <w:pPr>
        <w:spacing w:after="120"/>
        <w:jc w:val="left"/>
      </w:pPr>
      <w:r>
        <w:rPr>
          <w:b w:val="on"/>
          <w:sz w:val="26"/>
        </w:rPr>
        <w:t>Dossier, remise &amp; ouverture des offres</w:t>
      </w:r>
    </w:p>
    <w:p>
      <w:pPr>
        <w:spacing w:after="60"/>
        <w:jc w:val="left"/>
      </w:pPr>
      <w:r>
        <w:rPr>
          <w:b w:val="on"/>
          <w:sz w:val="22"/>
        </w:rPr>
        <w:t>Demande d'éclaircissement</w:t>
      </w:r>
    </w:p>
    <w:p>
      <w:pPr>
        <w:spacing w:after="40"/>
      </w:pPr>
      <w:r>
        <w:rPr>
          <w:b w:val="on"/>
          <w:sz w:val="20"/>
        </w:rPr>
        <w:t xml:space="preserve">Adresse pour les demandes d'éclaircissement : </w:t>
      </w:r>
      <w:r>
        <w:rPr>
          <w:sz w:val="20"/>
        </w:rPr>
        <w:t>Personne Responsable des Marchés Publics — Attention de : Monsieur LERAVO Norbert Fidelys — Porte 204, 2ème Etage - MESupReS — Fiadanana - Antananarivo, code postal 101 — E-mail : prmp.mesupres@gmail.com</w:t>
      </w:r>
    </w:p>
    <w:p>
      <w:pPr>
        <w:spacing w:after="40"/>
      </w:pPr>
      <w:r>
        <w:rPr>
          <w:b w:val="on"/>
          <w:sz w:val="20"/>
        </w:rPr>
        <w:t xml:space="preserve">Délai d'envoi des demandes par les candidats (jours avant la date limite) : </w:t>
      </w:r>
      <w:r>
        <w:rPr>
          <w:sz w:val="20"/>
        </w:rPr>
        <w:t>10</w:t>
      </w:r>
    </w:p>
    <w:p>
      <w:pPr>
        <w:spacing w:after="40"/>
      </w:pPr>
      <w:r>
        <w:rPr>
          <w:b w:val="on"/>
          <w:sz w:val="20"/>
        </w:rPr>
        <w:t xml:space="preserve">Délai de réponse du représentant de la PRMP (jours) : </w:t>
      </w:r>
      <w:r>
        <w:rPr>
          <w:sz w:val="20"/>
        </w:rPr>
        <w:t>5</w:t>
      </w:r>
    </w:p>
    <w:p>
      <w:pPr>
        <w:spacing w:after="60"/>
        <w:jc w:val="left"/>
      </w:pPr>
      <w:r>
        <w:rPr>
          <w:b w:val="on"/>
          <w:sz w:val="22"/>
        </w:rPr>
        <w:t>Contenu des offres</w:t>
      </w:r>
    </w:p>
    <w:p>
      <w:pPr>
        <w:spacing w:after="40"/>
      </w:pPr>
      <w:r>
        <w:rPr>
          <w:b w:val="on"/>
          <w:sz w:val="20"/>
        </w:rPr>
        <w:t xml:space="preserve">Documents et pièces constituant l'offre : </w:t>
      </w:r>
      <w:r>
        <w:rPr>
          <w:sz w:val="20"/>
        </w:rPr>
        <w:t>Documents ou pièces à remettre en sus de ceux mentionnés à la clause 6.2 des IC : photocopie certifiée conforme à l'original de la Carte d'Immatriculation Fiscale 2026 ou 2025 validée, datée de moins de 3 mois ; photocopie certifiée conforme à l'original de l'Extrait du Registre de Commerce daté de moins de 3 mois ; carte statistique (photocopie certifiée conforme à l'original) datée de moins de 3 mois ; certificat de non faillite daté de moins de 3 mois ; garantie de soumission.</w:t>
      </w:r>
    </w:p>
    <w:p>
      <w:pPr>
        <w:spacing w:after="60"/>
        <w:jc w:val="left"/>
      </w:pPr>
      <w:r>
        <w:rPr>
          <w:b w:val="on"/>
          <w:sz w:val="22"/>
        </w:rPr>
        <w:t>Délai de validité des offres</w:t>
      </w:r>
    </w:p>
    <w:p>
      <w:pPr>
        <w:spacing w:after="40"/>
      </w:pPr>
      <w:r>
        <w:rPr>
          <w:b w:val="on"/>
          <w:sz w:val="20"/>
        </w:rPr>
        <w:t xml:space="preserve">Délai de validité des offres (jours) : </w:t>
      </w:r>
      <w:r>
        <w:rPr>
          <w:sz w:val="20"/>
        </w:rPr>
        <w:t>75</w:t>
      </w:r>
    </w:p>
    <w:p>
      <w:pPr>
        <w:spacing w:after="60"/>
        <w:jc w:val="left"/>
      </w:pPr>
      <w:r>
        <w:rPr>
          <w:b w:val="on"/>
          <w:sz w:val="22"/>
        </w:rPr>
        <w:t>Langue</w:t>
      </w:r>
    </w:p>
    <w:p>
      <w:pPr>
        <w:spacing w:after="40"/>
      </w:pPr>
      <w:r>
        <w:rPr>
          <w:b w:val="on"/>
          <w:sz w:val="20"/>
        </w:rPr>
        <w:t xml:space="preserve">Langue de l'offre autre que le français admise : </w:t>
      </w:r>
      <w:r>
        <w:rPr>
          <w:sz w:val="20"/>
        </w:rPr>
        <w:t>Non</w:t>
      </w:r>
    </w:p>
    <w:p>
      <w:pPr>
        <w:spacing w:after="60"/>
        <w:jc w:val="left"/>
      </w:pPr>
      <w:r>
        <w:rPr>
          <w:b w:val="on"/>
          <w:sz w:val="22"/>
        </w:rPr>
        <w:t>Remise des offres – forme des plis</w:t>
      </w:r>
    </w:p>
    <w:p>
      <w:pPr>
        <w:spacing w:after="40"/>
      </w:pPr>
      <w:r>
        <w:rPr>
          <w:b w:val="on"/>
          <w:sz w:val="20"/>
        </w:rPr>
        <w:t xml:space="preserve">Nombre de copies de l'offre : </w:t>
      </w:r>
      <w:r>
        <w:rPr>
          <w:sz w:val="20"/>
        </w:rPr>
        <w:t>1</w:t>
      </w:r>
    </w:p>
    <w:p>
      <w:pPr>
        <w:spacing w:after="40"/>
      </w:pPr>
      <w:r>
        <w:rPr>
          <w:b w:val="on"/>
          <w:sz w:val="20"/>
        </w:rPr>
        <w:t xml:space="preserve">Mention et numéro à porter sur les plis : </w:t>
      </w:r>
      <w:r>
        <w:rPr>
          <w:sz w:val="20"/>
        </w:rPr>
        <w:t>AOO N° 2461/MT /MESupReS/PRMP/UGPM.2026 — Offre relative à « FOURNITURE ET LIVRAISON DES MATERIELS INFORMATIQUES REPARTIS EN CINQ (5) LOTS (A COMMANDE) » — « Ne pas ouvrir avant la date et l’heure d’ouverture des plis »</w:t>
      </w:r>
    </w:p>
    <w:p>
      <w:pPr>
        <w:spacing w:after="40"/>
      </w:pPr>
      <w:r>
        <w:rPr>
          <w:b w:val="on"/>
          <w:sz w:val="20"/>
        </w:rPr>
        <w:t xml:space="preserve">Présentation des plis (plis séparés par lot, enveloppes intérieures originale et copie) : </w:t>
      </w:r>
      <w:r>
        <w:rPr>
          <w:sz w:val="20"/>
        </w:rPr>
        <w:t>Les offres devront être dans des plis séparés présentées pour chacun des lots. Outre l'original de l'offre, le pli doit comprendre UNE (01) copie. Les enveloppes comportent la mention de l'appel d'offres, l'objet de l'offre, le numéro et l'intitulé du lot auquel se rapporte l'offre, « Attention de : Monsieur LERAVO Norbert Fidelys, Porte 204, 2ème Etage - MESupReS » et « Ne pas ouvrir avant la date et l'heure d'ouverture des plis », à l'exclusion de l'indication permettant d'identifier le candidat. Cette enveloppe extérieure contient deux enveloppes intérieures fermées, scellées à la cire, comportant les mêmes mentions ainsi que le nom et l’adresse du candidat : l’une portant la mention ORIGINALE, l’autre la mention COPIE.</w:t>
      </w:r>
    </w:p>
    <w:p>
      <w:pPr>
        <w:spacing w:after="60"/>
        <w:jc w:val="left"/>
      </w:pPr>
      <w:r>
        <w:rPr>
          <w:b w:val="on"/>
          <w:sz w:val="22"/>
        </w:rPr>
        <w:t>Lieu, date et heure de remise</w:t>
      </w:r>
    </w:p>
    <w:p>
      <w:pPr>
        <w:spacing w:after="40"/>
      </w:pPr>
      <w:r>
        <w:rPr>
          <w:b w:val="on"/>
          <w:sz w:val="20"/>
        </w:rPr>
        <w:t xml:space="preserve">Nom complet de la PRMP destinataire des offres : </w:t>
      </w:r>
      <w:r>
        <w:rPr>
          <w:sz w:val="20"/>
        </w:rPr>
        <w:t>Monsieur LERAVO Norbert Fidelys, Personne Responsable des Marchés Publics</w:t>
      </w:r>
    </w:p>
    <w:p>
      <w:pPr>
        <w:spacing w:after="40"/>
      </w:pPr>
      <w:r>
        <w:rPr>
          <w:b w:val="on"/>
          <w:sz w:val="20"/>
        </w:rPr>
        <w:t xml:space="preserve">Adresse de remise des offres : </w:t>
      </w:r>
      <w:r>
        <w:rPr>
          <w:sz w:val="20"/>
        </w:rPr>
        <w:t>Porte 204, 2ème Etage - MESupReS, Fiadanana - Antananarivo, code postal 101.</w:t>
      </w:r>
    </w:p>
    <w:p>
      <w:pPr>
        <w:spacing w:after="40"/>
      </w:pPr>
      <w:r>
        <w:rPr>
          <w:b w:val="on"/>
          <w:sz w:val="20"/>
        </w:rPr>
        <w:t xml:space="preserve">Date limite de remise des offres : </w:t>
      </w:r>
      <w:r>
        <w:rPr>
          <w:sz w:val="20"/>
        </w:rPr>
        <w:t>09/11/2026</w:t>
      </w:r>
    </w:p>
    <w:p>
      <w:pPr>
        <w:spacing w:after="40"/>
      </w:pPr>
      <w:r>
        <w:rPr>
          <w:b w:val="on"/>
          <w:sz w:val="20"/>
        </w:rPr>
        <w:t xml:space="preserve">Heure limite de remise des offres : </w:t>
      </w:r>
      <w:r>
        <w:rPr>
          <w:sz w:val="20"/>
        </w:rPr>
        <w:t>Dix (10) heures</w:t>
      </w:r>
    </w:p>
    <w:p>
      <w:pPr>
        <w:spacing w:after="60"/>
        <w:jc w:val="left"/>
      </w:pPr>
      <w:r>
        <w:rPr>
          <w:b w:val="on"/>
          <w:sz w:val="22"/>
        </w:rPr>
        <w:t>Ouverture des plis</w:t>
      </w:r>
    </w:p>
    <w:p>
      <w:pPr>
        <w:spacing w:after="40"/>
      </w:pPr>
      <w:r>
        <w:rPr>
          <w:b w:val="on"/>
          <w:sz w:val="20"/>
        </w:rPr>
        <w:t xml:space="preserve">Lieu de l'ouverture des plis : </w:t>
      </w:r>
      <w:r>
        <w:rPr>
          <w:sz w:val="20"/>
        </w:rPr>
        <w:t>Bureau : Porte 204, 2ème Etage - MESupReS</w:t>
      </w:r>
    </w:p>
    <w:p>
      <w:pPr>
        <w:spacing w:after="40"/>
      </w:pPr>
      <w:r>
        <w:rPr>
          <w:b w:val="on"/>
          <w:sz w:val="20"/>
        </w:rPr>
        <w:t xml:space="preserve">Date de l'ouverture des plis : </w:t>
      </w:r>
      <w:r>
        <w:rPr>
          <w:sz w:val="20"/>
        </w:rPr>
        <w:t>09/11/2026</w:t>
      </w:r>
    </w:p>
    <w:p>
      <w:pPr>
        <w:spacing w:after="40"/>
      </w:pPr>
      <w:r>
        <w:rPr>
          <w:b w:val="on"/>
          <w:sz w:val="20"/>
        </w:rPr>
        <w:t xml:space="preserve">Heure de l'ouverture des plis : </w:t>
      </w:r>
      <w:r>
        <w:rPr>
          <w:sz w:val="20"/>
        </w:rPr>
        <w:t>DIX HEURES (10H)</w:t>
      </w:r>
    </w:p>
    <w:p>
      <w:pPr>
        <w:spacing w:after="60"/>
        <w:jc w:val="left"/>
      </w:pPr>
      <w:r>
        <w:rPr>
          <w:b w:val="on"/>
          <w:sz w:val="22"/>
        </w:rPr>
        <w:t>Composition du dossier</w:t>
      </w:r>
    </w:p>
    <w:p>
      <w:pPr>
        <w:spacing w:after="40"/>
      </w:pPr>
      <w:r>
        <w:rPr>
          <w:b w:val="on"/>
          <w:sz w:val="20"/>
        </w:rPr>
        <w:t xml:space="preserve">Modèles de fiches de renseignements joints au dossier (A1, A2…) : </w:t>
      </w:r>
      <w:r>
        <w:rPr>
          <w:sz w:val="20"/>
        </w:rPr>
        <w:t>A1, A2, A3, A4</w:t>
      </w:r>
    </w:p>
    <w:p>
      <w:pPr>
        <w:spacing w:after="40"/>
      </w:pPr>
      <w:r>
        <w:rPr>
          <w:b w:val="on"/>
          <w:sz w:val="20"/>
        </w:rPr>
        <w:t xml:space="preserve">Modèle de garantie de soumission joint au dossier : </w:t>
      </w:r>
      <w:r>
        <w:rPr>
          <w:sz w:val="20"/>
        </w:rPr>
        <w:t>C1 et C2</w:t>
      </w:r>
    </w:p>
    <w:p>
      <w:pPr>
        <w:spacing w:after="60"/>
        <w:jc w:val="left"/>
      </w:pPr>
      <w:r>
        <w:rPr>
          <w:b w:val="on"/>
          <w:sz w:val="22"/>
        </w:rPr>
        <w:t>Remise par voie électronique</w:t>
      </w:r>
    </w:p>
    <w:p>
      <w:pPr>
        <w:spacing w:after="40"/>
      </w:pPr>
      <w:r>
        <w:rPr>
          <w:b w:val="on"/>
          <w:sz w:val="20"/>
        </w:rPr>
        <w:t xml:space="preserve">Remise des offres ou propositions par voie électronique admise : </w:t>
      </w:r>
      <w:r>
        <w:rPr>
          <w:sz w:val="20"/>
        </w:rPr>
        <w:t>Non</w:t>
      </w:r>
    </w:p>
    <w:p>
      <w:pPr>
        <w:spacing w:after="120"/>
        <w:jc w:val="left"/>
      </w:pPr>
      <w:r>
        <w:rPr>
          <w:b w:val="on"/>
          <w:sz w:val="26"/>
        </w:rPr>
        <w:t>Prix, montants &amp; garantie de soumission</w:t>
      </w:r>
    </w:p>
    <w:p>
      <w:pPr>
        <w:spacing w:after="60"/>
        <w:jc w:val="left"/>
      </w:pPr>
      <w:r>
        <w:rPr>
          <w:b w:val="on"/>
          <w:sz w:val="22"/>
        </w:rPr>
        <w:t>Contenu et décomposition des prix</w:t>
      </w:r>
    </w:p>
    <w:p>
      <w:pPr>
        <w:spacing w:after="40"/>
      </w:pPr>
      <w:r>
        <w:rPr>
          <w:b w:val="on"/>
          <w:sz w:val="20"/>
        </w:rPr>
        <w:t xml:space="preserve">Provenance des fournitures : </w:t>
      </w:r>
      <w:r>
        <w:rPr>
          <w:sz w:val="20"/>
        </w:rPr>
        <w:t>NATIONAL</w:t>
      </w:r>
    </w:p>
    <w:p>
      <w:pPr>
        <w:spacing w:after="40"/>
      </w:pPr>
      <w:r>
        <w:rPr>
          <w:b w:val="on"/>
          <w:sz w:val="20"/>
        </w:rPr>
        <w:t xml:space="preserve">Décomposition des prix des fournitures nationales (EXW hors TVA, transports intérieurs, assurance, services) : </w:t>
      </w:r>
      <w:r>
        <w:rPr>
          <w:sz w:val="20"/>
        </w:rPr>
        <w:t>Pour les Fournitures acquises sur le territoire national, le prix comprend : i) le prix des fournitures EXW, (magasin de ventes) ; ii) le prix des transports intérieurs, assurance et autres services locaux afférents à la livraison des fournitures jusqu’à leur destination finale.</w:t>
      </w:r>
    </w:p>
    <w:p>
      <w:pPr>
        <w:spacing w:after="60"/>
        <w:jc w:val="left"/>
      </w:pPr>
      <w:r>
        <w:rPr>
          <w:b w:val="on"/>
          <w:sz w:val="22"/>
        </w:rPr>
        <w:t>Variation des prix</w:t>
      </w:r>
    </w:p>
    <w:p>
      <w:pPr>
        <w:spacing w:after="40"/>
      </w:pPr>
      <w:r>
        <w:rPr>
          <w:b w:val="on"/>
          <w:sz w:val="20"/>
        </w:rPr>
        <w:t xml:space="preserve">Prix ferme ou révisable : </w:t>
      </w:r>
      <w:r>
        <w:rPr>
          <w:sz w:val="20"/>
        </w:rPr>
        <w:t>Non</w:t>
      </w:r>
    </w:p>
    <w:p>
      <w:pPr>
        <w:spacing w:after="60"/>
        <w:jc w:val="left"/>
      </w:pPr>
      <w:r>
        <w:rPr>
          <w:b w:val="on"/>
          <w:sz w:val="22"/>
        </w:rPr>
        <w:t>Monnaie</w:t>
      </w:r>
    </w:p>
    <w:p>
      <w:pPr>
        <w:spacing w:after="40"/>
      </w:pPr>
      <w:r>
        <w:rPr>
          <w:b w:val="on"/>
          <w:sz w:val="20"/>
        </w:rPr>
        <w:t xml:space="preserve">Monnaie de l'offre : </w:t>
      </w:r>
      <w:r>
        <w:rPr>
          <w:sz w:val="20"/>
        </w:rPr>
        <w:t>Ariary</w:t>
      </w:r>
    </w:p>
    <w:p>
      <w:pPr>
        <w:spacing w:after="60"/>
        <w:jc w:val="left"/>
      </w:pPr>
      <w:r>
        <w:rPr>
          <w:b w:val="on"/>
          <w:sz w:val="22"/>
        </w:rPr>
        <w:t>Garantie de soumission</w:t>
      </w:r>
    </w:p>
    <w:p>
      <w:pPr>
        <w:spacing w:after="40"/>
      </w:pPr>
      <w:r>
        <w:rPr>
          <w:b w:val="on"/>
          <w:sz w:val="20"/>
        </w:rPr>
        <w:t xml:space="preserve">Garantie de soumission exigée : </w:t>
      </w:r>
      <w:r>
        <w:rPr>
          <w:sz w:val="20"/>
        </w:rPr>
        <w:t>Oui</w:t>
      </w:r>
    </w:p>
    <w:p>
      <w:pPr>
        <w:spacing w:after="40"/>
      </w:pPr>
      <w:r>
        <w:rPr>
          <w:b w:val="on"/>
          <w:sz w:val="20"/>
        </w:rPr>
        <w:t xml:space="preserve">Forme de la garantie de soumission : </w:t>
      </w:r>
      <w:r>
        <w:rPr>
          <w:sz w:val="20"/>
        </w:rPr>
        <w:t>Une garantie de soumission doit être fournie dans l'une des formes suivantes :</w:t>
        <w:br/>
        <w:t>– soit une caution personnelle et solidaire d'un organisme agréé par le MEF</w:t>
        <w:br/>
        <w:t>– soit une garantie bancaire</w:t>
        <w:br/>
        <w:t>– soit un chèque de banque</w:t>
      </w:r>
    </w:p>
    <w:p>
      <w:pPr>
        <w:spacing w:after="40"/>
      </w:pPr>
      <w:r>
        <w:rPr>
          <w:b w:val="on"/>
          <w:sz w:val="20"/>
        </w:rPr>
        <w:t xml:space="preserve">Montant de la garantie de soumission (Ariary) — lot 1 : </w:t>
      </w:r>
      <w:r>
        <w:rPr>
          <w:sz w:val="20"/>
        </w:rPr>
        <w:t>1 600 000 Ariary (un million six cent mille ariary)</w:t>
      </w:r>
    </w:p>
    <w:p>
      <w:pPr>
        <w:spacing w:after="40"/>
      </w:pPr>
      <w:r>
        <w:rPr>
          <w:b w:val="on"/>
          <w:sz w:val="20"/>
        </w:rPr>
        <w:t xml:space="preserve">Montant de la garantie de soumission (Ariary) — lot 2 : </w:t>
      </w:r>
      <w:r>
        <w:rPr>
          <w:sz w:val="20"/>
        </w:rPr>
        <w:t>2 170 000 Ariary (deux millions cent soixante-dix mille ariary)</w:t>
      </w:r>
    </w:p>
    <w:p>
      <w:pPr>
        <w:spacing w:after="40"/>
      </w:pPr>
      <w:r>
        <w:rPr>
          <w:b w:val="on"/>
          <w:sz w:val="20"/>
        </w:rPr>
        <w:t xml:space="preserve">Montant de la garantie de soumission (Ariary) — lot 3 : </w:t>
      </w:r>
      <w:r>
        <w:rPr>
          <w:sz w:val="20"/>
        </w:rPr>
        <w:t>1 600 000 Ariary (un million six cent mille ariary)</w:t>
      </w:r>
    </w:p>
    <w:p>
      <w:pPr>
        <w:spacing w:after="40"/>
      </w:pPr>
      <w:r>
        <w:rPr>
          <w:b w:val="on"/>
          <w:sz w:val="20"/>
        </w:rPr>
        <w:t xml:space="preserve">Montant de la garantie de soumission (Ariary) — lot 4 : </w:t>
      </w:r>
      <w:r>
        <w:rPr>
          <w:sz w:val="20"/>
        </w:rPr>
        <w:t>2 170 000 Ariary (deux millions cent soixante-dix mille ariary)</w:t>
      </w:r>
    </w:p>
    <w:p>
      <w:pPr>
        <w:spacing w:after="40"/>
      </w:pPr>
      <w:r>
        <w:rPr>
          <w:b w:val="on"/>
          <w:sz w:val="20"/>
        </w:rPr>
        <w:t xml:space="preserve">Montant de la garantie de soumission (Ariary) — lot 5 : </w:t>
      </w:r>
      <w:r>
        <w:rPr>
          <w:sz w:val="20"/>
        </w:rPr>
        <w:t>1 600 000 Ariary (un million six cent mille ariary)</w:t>
      </w:r>
    </w:p>
    <w:p>
      <w:pPr>
        <w:spacing w:after="40"/>
      </w:pPr>
      <w:r>
        <w:rPr>
          <w:b w:val="on"/>
          <w:sz w:val="20"/>
        </w:rPr>
        <w:t xml:space="preserve">Durée de validité de la garantie de soumission (jours) : </w:t>
      </w:r>
      <w:r>
        <w:rPr>
          <w:sz w:val="20"/>
        </w:rPr>
        <w:t>105</w:t>
      </w:r>
    </w:p>
    <w:p>
      <w:pPr>
        <w:spacing w:after="120"/>
        <w:jc w:val="left"/>
      </w:pPr>
      <w:r>
        <w:rPr>
          <w:b w:val="on"/>
          <w:sz w:val="26"/>
        </w:rPr>
        <w:t>Évaluation, attribution &amp; notification</w:t>
      </w:r>
    </w:p>
    <w:p>
      <w:pPr>
        <w:spacing w:after="60"/>
        <w:jc w:val="left"/>
      </w:pPr>
      <w:r>
        <w:rPr>
          <w:b w:val="on"/>
          <w:sz w:val="22"/>
        </w:rPr>
        <w:t>Évaluation des plis, relations candidats / PRMP</w:t>
      </w:r>
    </w:p>
    <w:p>
      <w:pPr>
        <w:spacing w:after="40"/>
      </w:pPr>
      <w:r>
        <w:rPr>
          <w:b w:val="on"/>
          <w:sz w:val="20"/>
        </w:rPr>
        <w:t xml:space="preserve">Délai de réponse des candidats aux demandes de la PRMP (jours) : </w:t>
      </w:r>
      <w:r>
        <w:rPr>
          <w:sz w:val="20"/>
        </w:rPr>
        <w:t>3</w:t>
      </w:r>
    </w:p>
    <w:p>
      <w:pPr>
        <w:spacing w:after="60"/>
        <w:jc w:val="left"/>
      </w:pPr>
      <w:r>
        <w:rPr>
          <w:b w:val="on"/>
          <w:sz w:val="22"/>
        </w:rPr>
        <w:t>Évaluation des offres, montant évalué</w:t>
      </w:r>
    </w:p>
    <w:p>
      <w:pPr>
        <w:spacing w:after="40"/>
      </w:pPr>
      <w:r>
        <w:rPr>
          <w:b w:val="on"/>
          <w:sz w:val="20"/>
        </w:rPr>
        <w:t xml:space="preserve">Évaluation des offres portant sur plusieurs lots : </w:t>
      </w:r>
      <w:r>
        <w:rPr>
          <w:sz w:val="20"/>
        </w:rPr>
        <w:t>Par lot</w:t>
      </w:r>
    </w:p>
    <w:p>
      <w:pPr>
        <w:spacing w:after="40"/>
      </w:pPr>
      <w:r>
        <w:rPr>
          <w:b w:val="on"/>
          <w:sz w:val="20"/>
        </w:rPr>
        <w:t xml:space="preserve">Critères additionnels d'évaluation : </w:t>
      </w:r>
      <w:r>
        <w:rPr>
          <w:sz w:val="20"/>
        </w:rPr>
        <w:t>Non applicable.</w:t>
      </w:r>
    </w:p>
    <w:p>
      <w:pPr>
        <w:spacing w:after="40"/>
      </w:pPr>
      <w:r>
        <w:rPr>
          <w:b w:val="on"/>
          <w:sz w:val="20"/>
        </w:rPr>
        <w:t xml:space="preserve">Impôts, droits et taxes pris en compte dans l'évaluation : </w:t>
      </w:r>
      <w:r>
        <w:rPr>
          <w:sz w:val="20"/>
        </w:rPr>
        <w:t>Le prix du Marché est supposé comprendre l'ensemble des impôts, droits et taxes de toute nature dus par le Fournisseur au titre de la signature et de l'exécution du Marché.</w:t>
      </w:r>
    </w:p>
    <w:p>
      <w:pPr>
        <w:spacing w:after="40"/>
      </w:pPr>
      <w:r>
        <w:rPr>
          <w:b w:val="on"/>
          <w:sz w:val="20"/>
        </w:rPr>
        <w:t xml:space="preserve">Détermination du montant évalué de l'offre : </w:t>
      </w:r>
      <w:r>
        <w:rPr>
          <w:sz w:val="20"/>
        </w:rPr>
        <w:t>Les offres seront évaluées par lot et le marché portera sur le lot ou les lots attribués au candidat qualifié ayant proposé l’offre conforme pour l’essentiel et évaluée économiquement avantageuse pour le lot ou les lots considérés.</w:t>
      </w:r>
    </w:p>
    <w:p>
      <w:pPr>
        <w:spacing w:after="40"/>
      </w:pPr>
      <w:r>
        <w:rPr>
          <w:b w:val="on"/>
          <w:sz w:val="20"/>
        </w:rPr>
        <w:t xml:space="preserve">Comparaison des offres : </w:t>
      </w:r>
      <w:r>
        <w:rPr>
          <w:sz w:val="20"/>
        </w:rPr>
        <w:t>Après évaluation, la Personne Responsable des Marchés Publics compare toutes les offres substantiellement conformes pour déterminer l'offre évaluée la moins-disante, lot par lot.</w:t>
      </w:r>
    </w:p>
    <w:p>
      <w:pPr>
        <w:spacing w:after="40"/>
      </w:pPr>
      <w:r>
        <w:rPr>
          <w:b w:val="on"/>
          <w:sz w:val="20"/>
        </w:rPr>
        <w:t xml:space="preserve">Traitement des offres anormalement hautes ou basses : </w:t>
      </w:r>
      <w:r>
        <w:rPr>
          <w:sz w:val="20"/>
        </w:rPr>
        <w:t>Afin d'identifier le caractère anormalement bas ou haut d'une offre, la CAO effectuera les calculs suivants : calcul d'une 1ère moyenne des offres soumises sur la base de l'évaluation réalisée en termes monétaires ; identification des offres se situant à un pourcentage supérieur à 20 % — toutes les offres dont l’évaluation excède la moyenne augmentée de ce pourcentage seront déclarées offres anormalement hautes ; calcul d’une 2nde moyenne après neutralisation des offres anormalement hautes ; identification des offres se situant à un pourcentage inférieur à 10 % — toutes les offres dont l’évaluation est inférieure à cette 2nde moyenne diminuée de ce pourcentage seront déclarées offres anormalement basses.</w:t>
      </w:r>
    </w:p>
    <w:p>
      <w:pPr>
        <w:spacing w:after="40"/>
      </w:pPr>
      <w:r>
        <w:rPr>
          <w:b w:val="on"/>
          <w:sz w:val="20"/>
        </w:rPr>
        <w:t xml:space="preserve">Vérification a posteriori de la qualification du candidat moins-disant : </w:t>
      </w:r>
      <w:r>
        <w:rPr>
          <w:sz w:val="20"/>
        </w:rPr>
        <w:t>La Personne Responsable des Marchés Publics vérifie, avant attribution, que le candidat ayant présenté l'offre évaluée la moins-disante possède bien les qualifications requises et n'est frappé d'aucune exclusion.</w:t>
      </w:r>
    </w:p>
    <w:p>
      <w:pPr>
        <w:spacing w:after="40"/>
      </w:pPr>
      <w:r>
        <w:rPr>
          <w:b w:val="on"/>
          <w:sz w:val="20"/>
        </w:rPr>
        <w:t xml:space="preserve">Délai maximum de livraison (jours) — lot 1 : </w:t>
      </w:r>
      <w:r>
        <w:rPr>
          <w:sz w:val="20"/>
        </w:rPr>
        <w:t>30</w:t>
      </w:r>
    </w:p>
    <w:p>
      <w:pPr>
        <w:spacing w:after="40"/>
      </w:pPr>
      <w:r>
        <w:rPr>
          <w:b w:val="on"/>
          <w:sz w:val="20"/>
        </w:rPr>
        <w:t xml:space="preserve">Délai maximum de livraison (jours) — lot 2 : </w:t>
      </w:r>
      <w:r>
        <w:rPr>
          <w:sz w:val="20"/>
        </w:rPr>
        <w:t>30</w:t>
      </w:r>
    </w:p>
    <w:p>
      <w:pPr>
        <w:spacing w:after="40"/>
      </w:pPr>
      <w:r>
        <w:rPr>
          <w:b w:val="on"/>
          <w:sz w:val="20"/>
        </w:rPr>
        <w:t xml:space="preserve">Délai maximum de livraison (jours) — lot 3 : </w:t>
      </w:r>
      <w:r>
        <w:rPr>
          <w:sz w:val="20"/>
        </w:rPr>
        <w:t>30</w:t>
      </w:r>
    </w:p>
    <w:p>
      <w:pPr>
        <w:spacing w:after="40"/>
      </w:pPr>
      <w:r>
        <w:rPr>
          <w:b w:val="on"/>
          <w:sz w:val="20"/>
        </w:rPr>
        <w:t xml:space="preserve">Délai maximum de livraison (jours) — lot 4 : </w:t>
      </w:r>
      <w:r>
        <w:rPr>
          <w:sz w:val="20"/>
        </w:rPr>
        <w:t>30</w:t>
      </w:r>
    </w:p>
    <w:p>
      <w:pPr>
        <w:spacing w:after="40"/>
      </w:pPr>
      <w:r>
        <w:rPr>
          <w:b w:val="on"/>
          <w:sz w:val="20"/>
        </w:rPr>
        <w:t xml:space="preserve">Délai maximum de livraison (jours) — lot 5 : </w:t>
      </w:r>
      <w:r>
        <w:rPr>
          <w:sz w:val="20"/>
        </w:rPr>
        <w:t>30</w:t>
      </w:r>
    </w:p>
    <w:p>
      <w:pPr>
        <w:spacing w:after="120"/>
        <w:jc w:val="left"/>
      </w:pPr>
      <w:r>
        <w:rPr>
          <w:b w:val="on"/>
          <w:sz w:val="26"/>
        </w:rPr>
        <w:t>Exécution du marché &amp; livraison</w:t>
      </w:r>
    </w:p>
    <w:p>
      <w:pPr>
        <w:spacing w:after="60"/>
        <w:jc w:val="left"/>
      </w:pPr>
      <w:r>
        <w:rPr>
          <w:b w:val="on"/>
          <w:sz w:val="22"/>
        </w:rPr>
        <w:t>Lieu de livraison</w:t>
      </w:r>
    </w:p>
    <w:p>
      <w:pPr>
        <w:spacing w:after="40"/>
      </w:pPr>
      <w:r>
        <w:rPr>
          <w:b w:val="on"/>
          <w:sz w:val="20"/>
        </w:rPr>
        <w:t xml:space="preserve">Lieu de livraison — lot 1 : </w:t>
      </w:r>
      <w:r>
        <w:rPr>
          <w:sz w:val="20"/>
        </w:rPr>
        <w:t>MINISTERE FIADANANA</w:t>
      </w:r>
    </w:p>
    <w:p>
      <w:pPr>
        <w:spacing w:after="40"/>
      </w:pPr>
      <w:r>
        <w:rPr>
          <w:b w:val="on"/>
          <w:sz w:val="20"/>
        </w:rPr>
        <w:t xml:space="preserve">Lieu de livraison — lot 2 : </w:t>
      </w:r>
      <w:r>
        <w:rPr>
          <w:sz w:val="20"/>
        </w:rPr>
        <w:t>AMBATONDRAZAKA</w:t>
      </w:r>
    </w:p>
    <w:p>
      <w:pPr>
        <w:spacing w:after="40"/>
      </w:pPr>
      <w:r>
        <w:rPr>
          <w:b w:val="on"/>
          <w:sz w:val="20"/>
        </w:rPr>
        <w:t xml:space="preserve">Lieu de livraison — lot 3 : </w:t>
      </w:r>
      <w:r>
        <w:rPr>
          <w:sz w:val="20"/>
        </w:rPr>
        <w:t>AMBATONDRAZAKA</w:t>
      </w:r>
    </w:p>
    <w:p>
      <w:pPr>
        <w:spacing w:after="40"/>
      </w:pPr>
      <w:r>
        <w:rPr>
          <w:b w:val="on"/>
          <w:sz w:val="20"/>
        </w:rPr>
        <w:t xml:space="preserve">Lieu de livraison — lot 4 : </w:t>
      </w:r>
      <w:r>
        <w:rPr>
          <w:sz w:val="20"/>
        </w:rPr>
        <w:t>FORT DAUPHIN</w:t>
      </w:r>
    </w:p>
    <w:p>
      <w:pPr>
        <w:spacing w:after="40"/>
      </w:pPr>
      <w:r>
        <w:rPr>
          <w:b w:val="on"/>
          <w:sz w:val="20"/>
        </w:rPr>
        <w:t xml:space="preserve">Lieu de livraison — lot 5 : </w:t>
      </w:r>
      <w:r>
        <w:rPr>
          <w:sz w:val="20"/>
        </w:rPr>
        <w:t>FORT DAUPHIN</w:t>
      </w:r>
    </w:p>
    <w:sectPr>
      <w:footerReference w:type="default" r:id="rId2"/>
    </w:sectPr>
  </w:body>
</w:document>
</file>

<file path=word/footer1.xml><?xml version="1.0" encoding="utf-8"?>
<w:ftr xmlns:w="http://schemas.openxmlformats.org/wordprocessingml/2006/main">
  <w:p>
    <w:pPr>
      <w:jc w:val="center"/>
    </w:pPr>
    <w:r>
      <w:rPr>
        <w:sz w:val="16"/>
      </w:rPr>
      <w:t>Plan 00001/PPM-AGPM/CNM/2026 · ligne 303092 · fiche marché version 1 validée le 26/09/2026</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2026-09-26T16:43:38Z</dcterms:created>
  <dc:creator>Apache POI</dc:creator>
</cp:coreProperties>
</file>