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>CENTRALE</w:t>
      </w:r>
      <w:r>
        <w:rPr>
          <w:spacing w:val="-12"/>
          <w:sz w:val="20"/>
        </w:rPr>
        <w:t xml:space="preserve"> </w:t>
      </w:r>
      <w:r>
        <w:rPr>
          <w:sz w:val="20"/>
        </w:rPr>
        <w:t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MARCHES….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u w:val="single"/>
        </w:rPr>
        <w:t>LA</w:t>
      </w:r>
      <w:r>
        <w:rPr>
          <w:spacing w:val="-3"/>
          <w:u w:val="single"/>
        </w:rPr>
        <w:t xml:space="preserve"> </w:t>
      </w:r>
      <w:r>
        <w:rPr>
          <w:u w:val="single"/>
        </w:rPr>
        <w:t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CENTRALE…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>Projet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Plan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Passation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>INITIAL</w:t>
      </w:r>
      <w:r>
        <w:rPr>
          <w:sz w:val="20"/>
        </w:rPr>
        <w:t xml:space="preserve"> et d’Avis Général de Passation des Marchés</w:t>
      </w:r>
      <w:r>
        <w:rPr>
          <w:i/>
          <w:iCs/>
          <w:sz w:val="20"/>
        </w:rPr>
        <w:t xml:space="preserve"> INITIAL</w:t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>&lt;DATE EXAMEN&gt;</w:t>
      </w:r>
      <w:r>
        <w:rPr>
          <w:sz w:val="20"/>
        </w:rPr>
        <w:t>, la Commission Centrale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statué</w:t>
      </w:r>
      <w:r>
        <w:rPr>
          <w:spacing w:val="-8"/>
          <w:sz w:val="20"/>
        </w:rPr>
        <w:t xml:space="preserve"> </w:t>
      </w:r>
      <w:r>
        <w:rPr>
          <w:sz w:val="20"/>
        </w:rPr>
        <w:t>sur</w:t>
      </w:r>
      <w:r>
        <w:rPr>
          <w:spacing w:val="-9"/>
          <w:sz w:val="20"/>
        </w:rPr>
        <w:t xml:space="preserve"> </w:t>
      </w:r>
      <w:r>
        <w:rPr>
          <w:sz w:val="20"/>
        </w:rPr>
        <w:t>le</w:t>
      </w:r>
      <w:r>
        <w:rPr>
          <w:spacing w:val="-10"/>
          <w:sz w:val="20"/>
        </w:rPr>
        <w:t xml:space="preserve"> </w:t>
      </w:r>
      <w:r>
        <w:rPr>
          <w:sz w:val="20"/>
        </w:rPr>
        <w:t>dossier</w:t>
      </w:r>
      <w:r>
        <w:rPr>
          <w:spacing w:val="-9"/>
          <w:sz w:val="20"/>
        </w:rPr>
        <w:t xml:space="preserve"> </w:t>
      </w:r>
      <w:r>
        <w:rPr>
          <w:sz w:val="20"/>
        </w:rPr>
        <w:t>soumis</w:t>
      </w:r>
      <w:r>
        <w:rPr>
          <w:spacing w:val="-9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contrôle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571AC2D9" w14:textId="65A43515" w:rsidR="0029092B" w:rsidRDefault="00000000">
      <w:pPr>
        <w:spacing w:line="228" w:lineRule="exact"/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Secrétaire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séance</w:t>
      </w:r>
      <w:r>
        <w:rPr>
          <w:rFonts w:ascii="Arial" w:hAnsi="Arial"/>
          <w:i/>
          <w:spacing w:val="-5"/>
          <w:sz w:val="20"/>
        </w:rPr>
        <w:t> </w:t>
      </w:r>
      <w:r>
        <w:rPr>
          <w:rFonts w:ascii="Arial" w:hAnsi="Arial"/>
          <w:i/>
          <w:spacing w:val="-2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&lt;NOM ET PRENOMS DU VERIFICATEUR&gt;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Centrale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et à la publication de l’AGPM.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