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  <w:jc w:val="center"/>
      </w:pPr>
      <w:r>
        <w:rPr>
          <w:b w:val="on"/>
          <w:sz w:val="26"/>
        </w:rPr>
        <w:t>C 2. Modèle de caution personnelle et solidaire de soumission</w:t>
      </w:r>
    </w:p>
    <w:p>
      <w:pPr>
        <w:spacing w:after="60"/>
        <w:jc w:val="both"/>
      </w:pPr>
      <w:r>
        <w:rPr>
          <w:sz w:val="20"/>
        </w:rPr>
        <w:t>Nous soussignés [indiquer la dénomination sociale dénomination sociale de la banque ou de l’organisme de caution, et le siège social] agissant en qualité d’organisme de caution, organisme agréé par le Ministère chargé des Finances, déclarons nous porter caution personnelle et solidaire de [indiquer le nom et l’adresse complète du Candidat], ci-après dénommé « le Candidat », pour le montant de la caution à laquelle le Candidat est assujetti au titre de la remise d’une offre au plus tard le 09/11/2026 dont la validité expire le 23/01/2027 pour l’exécution d’un marché portant sur AOO n° 2463-MI/MESupReS/PRMP/UGPM.2026 — Fourniture et livraison des matériels informatiques répartis en cinq (5) lots (à commande), ci-après dénommée « l’Offre » pour MINISTERE DE L'ENSEIGNEMENT SUPERIEUR ET DE LA RECHERCHE SCIENTIFIQUE, Fiadanana, 2ème étage porte 204 — Antananarivo 101, ci-après dénommée « le Bénéficiaire », ladite caution s’élève à 1 600 000 Ariary (un million six cent mille ariary).</w:t>
      </w:r>
    </w:p>
    <w:p>
      <w:pPr>
        <w:spacing w:after="60"/>
        <w:jc w:val="both"/>
      </w:pPr>
      <w:r>
        <w:rPr>
          <w:sz w:val="20"/>
        </w:rPr>
        <w:t>Nous engageons à effectuer tous versements, dans la limite du montant indiqué ci-dessus, sur demande de paiement du Bénéficiaire adressée par courrier avec accusé de réception, reçue au plus tard à la date d’expiration mentionnée ci-après, sans pouvoir différer le paiement ou soulever de contestation pour quelque motif que ce soit, jusqu’à concurrence de la somme garantie ci-dessus, dans le cas où le Candidat n’aurait pas rempli l’une des obligations auxquelles il est tenu en vertu de l’Offre, à savoir :</w:t>
      </w:r>
    </w:p>
    <w:p>
      <w:pPr>
        <w:spacing w:after="60"/>
        <w:jc w:val="both"/>
      </w:pPr>
      <w:r>
        <w:rPr>
          <w:sz w:val="20"/>
        </w:rPr>
        <w:t>a) que son Offre a été retirée pendant sa période de validité fixée dans le Dossier d’Appel d’Offres (DAO), ou</w:t>
      </w:r>
    </w:p>
    <w:p>
      <w:pPr>
        <w:spacing w:after="60"/>
        <w:jc w:val="both"/>
      </w:pPr>
      <w:r>
        <w:rPr>
          <w:sz w:val="20"/>
        </w:rPr>
        <w:t>b) qu’il n’a pas accepté les corrections des erreurs de calcul de son Offres, alors que cette Offre serait acceptée par le bénéficiaire sur la base de ces corrections, ou</w:t>
      </w:r>
    </w:p>
    <w:p>
      <w:pPr>
        <w:spacing w:after="60"/>
        <w:jc w:val="both"/>
      </w:pPr>
      <w:r>
        <w:rPr>
          <w:sz w:val="20"/>
        </w:rPr>
        <w:t>c) que s’étant vu notifier l’acceptation de l’offre par le Bénéficiaire pendant sa période de validité :</w:t>
      </w:r>
    </w:p>
    <w:p>
      <w:pPr>
        <w:spacing w:after="60"/>
        <w:jc w:val="both"/>
      </w:pPr>
      <w:r>
        <w:rPr>
          <w:sz w:val="20"/>
        </w:rPr>
        <w:t>- il n’a pas fourni la garantie de bonne exécution du marché, alors qu’il était tenu de le faire ainsi qu’il est prévu dans les documents d’appel d’offres, ou</w:t>
      </w:r>
    </w:p>
    <w:p>
      <w:pPr>
        <w:spacing w:after="60"/>
        <w:jc w:val="both"/>
      </w:pPr>
      <w:r>
        <w:rPr>
          <w:sz w:val="20"/>
        </w:rPr>
        <w:t>- il a refusé de signer le document l’engageant contractuellement à exécuter le marché.</w:t>
      </w:r>
    </w:p>
    <w:p>
      <w:pPr>
        <w:spacing w:after="60"/>
        <w:jc w:val="both"/>
      </w:pPr>
      <w:r>
        <w:rPr>
          <w:sz w:val="20"/>
        </w:rPr>
        <w:t>Le présent engagement expire le trentième (30ème) jour suivant l’expiration de la période de validité des offres telle que stipulée ci-dessus soit le cent cinquième (105ème) jour à compter de la date limite fixée pour la remise des offres. Cette date peut être reportée par l’Autorité Contractante par notification écrite au Candidat et à nous même. Toute demande relative au présent engagement devra nous parvenir au plus tard à la date d’expiration, faute de quoi le présent engagement expire de plein droit.</w:t>
      </w:r>
    </w:p>
    <w:p>
      <w:pPr>
        <w:spacing w:after="60"/>
        <w:jc w:val="both"/>
      </w:pPr>
      <w:r>
        <w:rPr>
          <w:sz w:val="20"/>
        </w:rPr>
        <w:t>Fait à [Lieu d’établissement de l’engagement], le [date d’établissement de l’engagement]</w:t>
      </w:r>
    </w:p>
    <w:p>
      <w:pPr>
        <w:spacing w:after="60"/>
        <w:jc w:val="both"/>
      </w:pPr>
      <w:r>
        <w:rPr>
          <w:sz w:val="20"/>
        </w:rPr>
        <w:t>SIGNATURE et authentification du signataire</w:t>
      </w:r>
    </w:p>
    <w:p>
      <w:pPr>
        <w:spacing w:after="60"/>
        <w:jc w:val="both"/>
      </w:pPr>
      <w:r>
        <w:rPr>
          <w:sz w:val="20"/>
        </w:rPr>
        <w:t>Nom de la Banque</w:t>
      </w:r>
    </w:p>
    <w:p>
      <w:pPr>
        <w:spacing w:after="60"/>
        <w:jc w:val="both"/>
      </w:pPr>
      <w:r>
        <w:rPr>
          <w:sz w:val="20"/>
        </w:rPr>
        <w:t>Adresse________________________________________________________________________</w:t>
      </w:r>
    </w:p>
    <w:p>
      <w:pPr>
        <w:spacing w:after="60"/>
        <w:jc w:val="both"/>
      </w:pPr>
      <w:r>
        <w:rPr>
          <w:sz w:val="20"/>
        </w:rPr>
        <w:t>Date</w:t>
      </w:r>
    </w:p>
    <w:p>
      <w:pPr>
        <w:spacing w:after="60"/>
        <w:jc w:val="both"/>
      </w:pPr>
      <w:r>
        <w:rPr>
          <w:sz w:val="20"/>
        </w:rPr>
        <w:t>Cachet de la Banque</w:t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Plan 00001/PPM-AGPM/CNM/2026 · ligne 303091 · fiche marché version 1 validée le 26/09/2026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2026-09-26T15:34:44Z</dcterms:created>
  <dc:creator>Apache POI</dc:creator>
</cp:coreProperties>
</file>