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jc w:val="center"/>
      </w:pPr>
      <w:r>
        <w:rPr>
          <w:b w:val="on"/>
          <w:sz w:val="32"/>
        </w:rPr>
        <w:t>Cahier des clauses administratives particulières</w:t>
      </w:r>
    </w:p>
    <w:p>
      <w:pPr>
        <w:spacing w:after="240"/>
        <w:jc w:val="center"/>
      </w:pPr>
      <w:r>
        <w:rPr>
          <w:b w:val="off"/>
          <w:sz w:val="24"/>
        </w:rPr>
        <w:t>Fourniture et livraison des matériels informatiques répartis en cinq (5) lots (à commande)</w:t>
      </w:r>
    </w:p>
    <w:p>
      <w:pPr>
        <w:spacing w:after="120"/>
        <w:jc w:val="left"/>
      </w:pPr>
      <w:r>
        <w:rPr>
          <w:b w:val="on"/>
          <w:sz w:val="26"/>
        </w:rPr>
        <w:t>Identification &amp; données du PPM</w:t>
      </w:r>
    </w:p>
    <w:p>
      <w:pPr>
        <w:spacing w:after="60"/>
        <w:jc w:val="left"/>
      </w:pPr>
      <w:r>
        <w:rPr>
          <w:b w:val="on"/>
          <w:sz w:val="22"/>
        </w:rPr>
        <w:t>Acheteur</w:t>
      </w:r>
    </w:p>
    <w:p>
      <w:pPr>
        <w:spacing w:after="40"/>
      </w:pPr>
      <w:r>
        <w:rPr>
          <w:b w:val="on"/>
          <w:sz w:val="20"/>
        </w:rPr>
        <w:t xml:space="preserve">Autorité contractante : </w:t>
      </w:r>
      <w:r>
        <w:rPr>
          <w:sz w:val="20"/>
        </w:rPr>
        <w:t>MINISTERE DE L'ENSEIGNEMENT SUPERIEUR ET DE LA RECHERCHE SCIENTIFIQUE</w:t>
      </w:r>
    </w:p>
    <w:p>
      <w:pPr>
        <w:spacing w:after="40"/>
      </w:pPr>
      <w:r>
        <w:rPr>
          <w:b w:val="on"/>
          <w:sz w:val="20"/>
        </w:rPr>
        <w:t xml:space="preserve">Adresse de l'autorité contractante : </w:t>
      </w:r>
      <w:r>
        <w:rPr>
          <w:sz w:val="20"/>
        </w:rPr>
        <w:t>Fiadanana, 2ème étage porte 204 — Antananarivo 101</w:t>
      </w:r>
    </w:p>
    <w:p>
      <w:pPr>
        <w:spacing w:after="40"/>
      </w:pPr>
      <w:r>
        <w:rPr>
          <w:b w:val="on"/>
          <w:sz w:val="20"/>
        </w:rPr>
        <w:t xml:space="preserve">Personne responsable des marchés publics : </w:t>
      </w:r>
      <w:r>
        <w:rPr>
          <w:sz w:val="20"/>
        </w:rPr>
        <w:t>LERAVO Norbert Fidelys</w:t>
      </w:r>
    </w:p>
    <w:p>
      <w:pPr>
        <w:spacing w:after="40"/>
      </w:pPr>
      <w:r>
        <w:rPr>
          <w:b w:val="on"/>
          <w:sz w:val="20"/>
        </w:rPr>
        <w:t xml:space="preserve">Nature du marché : </w:t>
      </w:r>
      <w:r>
        <w:rPr>
          <w:sz w:val="20"/>
        </w:rPr>
        <w:t>Fournitures</w:t>
      </w:r>
    </w:p>
    <w:p>
      <w:pPr>
        <w:spacing w:after="40"/>
      </w:pPr>
      <w:r>
        <w:rPr>
          <w:b w:val="on"/>
          <w:sz w:val="20"/>
        </w:rPr>
        <w:t xml:space="preserve">Source de financement : </w:t>
      </w:r>
      <w:r>
        <w:rPr>
          <w:sz w:val="20"/>
        </w:rPr>
        <w:t>RPI</w:t>
      </w:r>
    </w:p>
    <w:p>
      <w:pPr>
        <w:spacing w:after="40"/>
      </w:pPr>
      <w:r>
        <w:rPr>
          <w:b w:val="on"/>
          <w:sz w:val="20"/>
        </w:rPr>
        <w:t xml:space="preserve">Compte(s) budgétaire(s) : </w:t>
      </w:r>
      <w:r>
        <w:rPr>
          <w:sz w:val="20"/>
        </w:rPr>
        <w:t>2463</w:t>
      </w:r>
    </w:p>
    <w:p>
      <w:pPr>
        <w:spacing w:after="40"/>
      </w:pPr>
      <w:r>
        <w:rPr>
          <w:b w:val="on"/>
          <w:sz w:val="20"/>
        </w:rPr>
        <w:t xml:space="preserve">Forme du marché : </w:t>
      </w:r>
      <w:r>
        <w:rPr>
          <w:sz w:val="20"/>
        </w:rPr>
        <w:t>Marché à commande</w:t>
      </w:r>
    </w:p>
    <w:p>
      <w:pPr>
        <w:spacing w:after="120"/>
        <w:jc w:val="left"/>
      </w:pPr>
      <w:r>
        <w:rPr>
          <w:b w:val="on"/>
          <w:sz w:val="26"/>
        </w:rPr>
        <w:t>Objet, allotissement &amp; forme du marché</w:t>
      </w:r>
    </w:p>
    <w:p>
      <w:pPr>
        <w:spacing w:after="60"/>
        <w:jc w:val="left"/>
      </w:pPr>
      <w:r>
        <w:rPr>
          <w:b w:val="on"/>
          <w:sz w:val="22"/>
        </w:rPr>
        <w:t>Objet de l'appel d'offres</w:t>
      </w:r>
    </w:p>
    <w:p>
      <w:pPr>
        <w:spacing w:after="40"/>
      </w:pPr>
      <w:r>
        <w:rPr>
          <w:b w:val="on"/>
          <w:sz w:val="20"/>
        </w:rPr>
        <w:t xml:space="preserve">Objet de l'appel d'offres : </w:t>
      </w:r>
      <w:r>
        <w:rPr>
          <w:sz w:val="20"/>
        </w:rPr>
        <w:t>Fourniture et livraison des matériels informatiques répartis en cinq (5) lots (à commande)</w:t>
      </w:r>
    </w:p>
    <w:p>
      <w:pPr>
        <w:spacing w:after="120"/>
        <w:jc w:val="left"/>
      </w:pPr>
      <w:r>
        <w:rPr>
          <w:b w:val="on"/>
          <w:sz w:val="26"/>
        </w:rPr>
        <w:t>Candidats : groupement, sous-traitance, qualifications</w:t>
      </w:r>
    </w:p>
    <w:p>
      <w:pPr>
        <w:spacing w:after="60"/>
        <w:jc w:val="left"/>
      </w:pPr>
      <w:r>
        <w:rPr>
          <w:b w:val="on"/>
          <w:sz w:val="22"/>
        </w:rPr>
        <w:t>Groupement</w:t>
      </w:r>
    </w:p>
    <w:p>
      <w:pPr>
        <w:spacing w:after="40"/>
      </w:pPr>
      <w:r>
        <w:rPr>
          <w:b w:val="on"/>
          <w:sz w:val="20"/>
        </w:rPr>
        <w:t xml:space="preserve">Groupement autorisé : </w:t>
      </w:r>
      <w:r>
        <w:rPr>
          <w:sz w:val="20"/>
        </w:rPr>
        <w:t>Non</w:t>
      </w:r>
    </w:p>
    <w:p>
      <w:pPr>
        <w:spacing w:after="60"/>
        <w:jc w:val="left"/>
      </w:pPr>
      <w:r>
        <w:rPr>
          <w:b w:val="on"/>
          <w:sz w:val="22"/>
        </w:rPr>
        <w:t>Sous-traitance</w:t>
      </w:r>
    </w:p>
    <w:p>
      <w:pPr>
        <w:spacing w:after="40"/>
      </w:pPr>
      <w:r>
        <w:rPr>
          <w:b w:val="on"/>
          <w:sz w:val="20"/>
        </w:rPr>
        <w:t xml:space="preserve">Sous-traitance autorisée : </w:t>
      </w:r>
      <w:r>
        <w:rPr>
          <w:sz w:val="20"/>
        </w:rPr>
        <w:t>Non</w:t>
      </w:r>
    </w:p>
    <w:p>
      <w:pPr>
        <w:spacing w:after="60"/>
        <w:jc w:val="left"/>
      </w:pPr>
      <w:r>
        <w:rPr>
          <w:b w:val="on"/>
          <w:sz w:val="22"/>
        </w:rPr>
        <w:t>Nantissement</w:t>
      </w:r>
    </w:p>
    <w:p>
      <w:pPr>
        <w:spacing w:after="40"/>
      </w:pPr>
      <w:r>
        <w:rPr>
          <w:b w:val="on"/>
          <w:sz w:val="20"/>
        </w:rPr>
        <w:t xml:space="preserve">Nantissement autorisé : </w:t>
      </w:r>
      <w:r>
        <w:rPr>
          <w:sz w:val="20"/>
        </w:rPr>
        <w:t>Oui</w:t>
      </w:r>
    </w:p>
    <w:p>
      <w:pPr>
        <w:spacing w:after="40"/>
      </w:pPr>
      <w:r>
        <w:rPr>
          <w:b w:val="on"/>
          <w:sz w:val="20"/>
        </w:rPr>
        <w:t xml:space="preserve">Conditions du nantissement : </w:t>
      </w:r>
      <w:r>
        <w:rPr>
          <w:sz w:val="20"/>
        </w:rPr>
        <w:t>Est désigné comme comptable assignataire des paiements le Trésorier ministériel chargé de l'Enseignement ; le montant maximal de la créance qui pourra être nantie par le fournisseur est à compléter par le candidat, en lettres et en chiffres, à l'acte d'engagement.</w:t>
      </w:r>
    </w:p>
    <w:p>
      <w:pPr>
        <w:spacing w:after="120"/>
        <w:jc w:val="left"/>
      </w:pPr>
      <w:r>
        <w:rPr>
          <w:b w:val="on"/>
          <w:sz w:val="26"/>
        </w:rPr>
        <w:t>Dossier, remise &amp; ouverture des offres</w:t>
      </w:r>
    </w:p>
    <w:p>
      <w:pPr>
        <w:spacing w:after="60"/>
        <w:jc w:val="left"/>
      </w:pPr>
      <w:r>
        <w:rPr>
          <w:b w:val="on"/>
          <w:sz w:val="22"/>
        </w:rPr>
        <w:t>Délai de validité des offres</w:t>
      </w:r>
    </w:p>
    <w:p>
      <w:pPr>
        <w:spacing w:after="40"/>
      </w:pPr>
      <w:r>
        <w:rPr>
          <w:b w:val="on"/>
          <w:sz w:val="20"/>
        </w:rPr>
        <w:t xml:space="preserve">Délai de validité des offres (jours) : </w:t>
      </w:r>
      <w:r>
        <w:rPr>
          <w:sz w:val="20"/>
        </w:rPr>
        <w:t>75</w:t>
      </w:r>
    </w:p>
    <w:p>
      <w:pPr>
        <w:spacing w:after="120"/>
        <w:jc w:val="left"/>
      </w:pPr>
      <w:r>
        <w:rPr>
          <w:b w:val="on"/>
          <w:sz w:val="26"/>
        </w:rPr>
        <w:t>Prix, montants &amp; garantie de soumission</w:t>
      </w:r>
    </w:p>
    <w:p>
      <w:pPr>
        <w:spacing w:after="60"/>
        <w:jc w:val="left"/>
      </w:pPr>
      <w:r>
        <w:rPr>
          <w:b w:val="on"/>
          <w:sz w:val="22"/>
        </w:rPr>
        <w:t>Contenu et décomposition des prix</w:t>
      </w:r>
    </w:p>
    <w:p>
      <w:pPr>
        <w:spacing w:after="40"/>
      </w:pPr>
      <w:r>
        <w:rPr>
          <w:b w:val="on"/>
          <w:sz w:val="20"/>
        </w:rPr>
        <w:t xml:space="preserve">Provenance des fournitures : </w:t>
      </w:r>
      <w:r>
        <w:rPr>
          <w:sz w:val="20"/>
        </w:rPr>
        <w:t>NATIONAL</w:t>
      </w:r>
    </w:p>
    <w:p>
      <w:pPr>
        <w:spacing w:after="40"/>
      </w:pPr>
      <w:r>
        <w:rPr>
          <w:b w:val="on"/>
          <w:sz w:val="20"/>
        </w:rPr>
        <w:t xml:space="preserve">Décomposition des prix des fournitures nationales (EXW hors TVA, transports intérieurs, assurance, services) : </w:t>
      </w:r>
      <w:r>
        <w:rPr>
          <w:sz w:val="20"/>
        </w:rPr>
        <w:t>Pour les Fournitures acquises sur le territoire national, le prix comprend : i) le prix des fournitures EXW, (magasin de ventes) ; ii) le prix des transports intérieurs, assurance et autres services locaux afférents à la livraison des fournitures jusqu’à leur destination finale.</w:t>
      </w:r>
    </w:p>
    <w:p>
      <w:pPr>
        <w:spacing w:after="60"/>
        <w:jc w:val="left"/>
      </w:pPr>
      <w:r>
        <w:rPr>
          <w:b w:val="on"/>
          <w:sz w:val="22"/>
        </w:rPr>
        <w:t>Variation des prix</w:t>
      </w:r>
    </w:p>
    <w:p>
      <w:pPr>
        <w:spacing w:after="40"/>
      </w:pPr>
      <w:r>
        <w:rPr>
          <w:b w:val="on"/>
          <w:sz w:val="20"/>
        </w:rPr>
        <w:t xml:space="preserve">Prix ferme ou révisable : </w:t>
      </w:r>
      <w:r>
        <w:rPr>
          <w:sz w:val="20"/>
        </w:rPr>
        <w:t>Non</w:t>
      </w:r>
    </w:p>
    <w:p>
      <w:pPr>
        <w:spacing w:after="60"/>
        <w:jc w:val="left"/>
      </w:pPr>
      <w:r>
        <w:rPr>
          <w:b w:val="on"/>
          <w:sz w:val="22"/>
        </w:rPr>
        <w:t>Monnaie</w:t>
      </w:r>
    </w:p>
    <w:p>
      <w:pPr>
        <w:spacing w:after="40"/>
      </w:pPr>
      <w:r>
        <w:rPr>
          <w:b w:val="on"/>
          <w:sz w:val="20"/>
        </w:rPr>
        <w:t xml:space="preserve">Monnaie de l'offre : </w:t>
      </w:r>
      <w:r>
        <w:rPr>
          <w:sz w:val="20"/>
        </w:rPr>
        <w:t>Ariary</w:t>
      </w:r>
    </w:p>
    <w:p>
      <w:pPr>
        <w:spacing w:after="60"/>
        <w:jc w:val="left"/>
      </w:pPr>
      <w:r>
        <w:rPr>
          <w:b w:val="on"/>
          <w:sz w:val="22"/>
        </w:rPr>
        <w:t>Garantie de soumission</w:t>
      </w:r>
    </w:p>
    <w:p>
      <w:pPr>
        <w:spacing w:after="40"/>
      </w:pPr>
      <w:r>
        <w:rPr>
          <w:b w:val="on"/>
          <w:sz w:val="20"/>
        </w:rPr>
        <w:t xml:space="preserve">Forme de la garantie de soumission : </w:t>
      </w:r>
      <w:r>
        <w:rPr>
          <w:sz w:val="20"/>
        </w:rPr>
        <w:t>Une garantie de soumission doit être fournie dans l'une des formes suivantes :</w:t>
        <w:br/>
        <w:t>– soit une caution personnelle et solidaire d'un organisme agréé par le MEF</w:t>
        <w:br/>
        <w:t>– soit une garantie bancaire</w:t>
        <w:br/>
        <w:t>– soit un chèque de banque</w:t>
      </w:r>
    </w:p>
    <w:p>
      <w:pPr>
        <w:spacing w:after="60"/>
        <w:jc w:val="left"/>
      </w:pPr>
      <w:r>
        <w:rPr>
          <w:b w:val="on"/>
          <w:sz w:val="22"/>
        </w:rPr>
        <w:t>Type de prix</w:t>
      </w:r>
    </w:p>
    <w:p>
      <w:pPr>
        <w:spacing w:after="40"/>
      </w:pPr>
      <w:r>
        <w:rPr>
          <w:b w:val="on"/>
          <w:sz w:val="20"/>
        </w:rPr>
        <w:t xml:space="preserve">Type de prix : </w:t>
      </w:r>
      <w:r>
        <w:rPr>
          <w:sz w:val="20"/>
        </w:rPr>
        <w:t>UNITAIRES</w:t>
      </w:r>
    </w:p>
    <w:p>
      <w:pPr>
        <w:spacing w:after="120"/>
        <w:jc w:val="left"/>
      </w:pPr>
      <w:r>
        <w:rPr>
          <w:b w:val="on"/>
          <w:sz w:val="26"/>
        </w:rPr>
        <w:t>Évaluation, attribution &amp; notification</w:t>
      </w:r>
    </w:p>
    <w:p>
      <w:pPr>
        <w:spacing w:after="60"/>
        <w:jc w:val="left"/>
      </w:pPr>
      <w:r>
        <w:rPr>
          <w:b w:val="on"/>
          <w:sz w:val="22"/>
        </w:rPr>
        <w:t>Attribution et notification du marché</w:t>
      </w:r>
    </w:p>
    <w:p>
      <w:pPr>
        <w:spacing w:after="40"/>
      </w:pPr>
      <w:r>
        <w:rPr>
          <w:b w:val="on"/>
          <w:sz w:val="20"/>
        </w:rPr>
        <w:t xml:space="preserve">Recours gracieux et recours en attribution : </w:t>
      </w:r>
      <w:r>
        <w:rPr>
          <w:sz w:val="20"/>
        </w:rPr>
        <w:t>Tout candidat écarté peut demander par écrit les motifs du rejet de sa candidature ou de son offre ; la Personne Responsable des Marchés Publics répond dans les vingt jours. Le recours gracieux puis le recours devant l'organe de régulation s'exercent dans les conditions du Code des marchés publics.</w:t>
      </w:r>
    </w:p>
    <w:p>
      <w:pPr>
        <w:spacing w:after="120"/>
        <w:jc w:val="left"/>
      </w:pPr>
      <w:r>
        <w:rPr>
          <w:b w:val="on"/>
          <w:sz w:val="26"/>
        </w:rPr>
        <w:t>Paiements, avances &amp; garanties financières</w:t>
      </w:r>
    </w:p>
    <w:p>
      <w:pPr>
        <w:spacing w:after="60"/>
        <w:jc w:val="left"/>
      </w:pPr>
      <w:r>
        <w:rPr>
          <w:b w:val="on"/>
          <w:sz w:val="22"/>
        </w:rPr>
        <w:t>Paiements</w:t>
      </w:r>
    </w:p>
    <w:p>
      <w:pPr>
        <w:spacing w:after="40"/>
      </w:pPr>
      <w:r>
        <w:rPr>
          <w:b w:val="on"/>
          <w:sz w:val="20"/>
        </w:rPr>
        <w:t xml:space="preserve">Établissement des décomptes, factures ou mémoires : </w:t>
      </w:r>
      <w:r>
        <w:rPr>
          <w:sz w:val="20"/>
        </w:rPr>
        <w:t>Les factures seront établies en quatre (04) exemplaires : un original et 3 copies portant, outre les mentions légales, les indications suivantes : le nom et adresse du Fournisseur ; le numéro du compte bancaire tel qu’il est précisé sur l’Acte d’Engagement ; les références du Marché ; le montant hors taxe des fournitures livrées ; le montant dû en Ariary ; la date de facturation.</w:t>
      </w:r>
    </w:p>
    <w:p>
      <w:pPr>
        <w:spacing w:after="40"/>
      </w:pPr>
      <w:r>
        <w:rPr>
          <w:b w:val="on"/>
          <w:sz w:val="20"/>
        </w:rPr>
        <w:t xml:space="preserve">Termes de paiement : </w:t>
      </w:r>
      <w:r>
        <w:rPr>
          <w:sz w:val="20"/>
        </w:rPr>
        <w:t>Les factures seront établies à la livraison.</w:t>
      </w:r>
    </w:p>
    <w:p>
      <w:pPr>
        <w:spacing w:after="40"/>
      </w:pPr>
      <w:r>
        <w:rPr>
          <w:b w:val="on"/>
          <w:sz w:val="20"/>
        </w:rPr>
        <w:t xml:space="preserve">Périodicité des paiements (prix unitaires) : </w:t>
      </w:r>
      <w:r>
        <w:rPr>
          <w:sz w:val="20"/>
        </w:rPr>
        <w:t>À la livraison</w:t>
      </w:r>
    </w:p>
    <w:p>
      <w:pPr>
        <w:spacing w:after="40"/>
      </w:pPr>
      <w:r>
        <w:rPr>
          <w:b w:val="on"/>
          <w:sz w:val="20"/>
        </w:rPr>
        <w:t xml:space="preserve">Délai de paiement (jours) : </w:t>
      </w:r>
      <w:r>
        <w:rPr>
          <w:sz w:val="20"/>
        </w:rPr>
        <w:t>30</w:t>
      </w:r>
    </w:p>
    <w:p>
      <w:pPr>
        <w:spacing w:after="60"/>
        <w:jc w:val="left"/>
      </w:pPr>
      <w:r>
        <w:rPr>
          <w:b w:val="on"/>
          <w:sz w:val="22"/>
        </w:rPr>
        <w:t>Avance</w:t>
      </w:r>
    </w:p>
    <w:p>
      <w:pPr>
        <w:spacing w:after="40"/>
      </w:pPr>
      <w:r>
        <w:rPr>
          <w:b w:val="on"/>
          <w:sz w:val="20"/>
        </w:rPr>
        <w:t xml:space="preserve">Avance accordée : </w:t>
      </w:r>
      <w:r>
        <w:rPr>
          <w:sz w:val="20"/>
        </w:rPr>
        <w:t>Oui</w:t>
      </w:r>
    </w:p>
    <w:p>
      <w:pPr>
        <w:spacing w:after="40"/>
      </w:pPr>
      <w:r>
        <w:rPr>
          <w:b w:val="on"/>
          <w:sz w:val="20"/>
        </w:rPr>
        <w:t xml:space="preserve">Taux de l'avance (%) : </w:t>
      </w:r>
      <w:r>
        <w:rPr>
          <w:sz w:val="20"/>
        </w:rPr>
        <w:t>20 %</w:t>
      </w:r>
    </w:p>
    <w:p>
      <w:pPr>
        <w:spacing w:after="40"/>
      </w:pPr>
      <w:r>
        <w:rPr>
          <w:b w:val="on"/>
          <w:sz w:val="20"/>
        </w:rPr>
        <w:t xml:space="preserve">Forme de la garantie de restitution d'avance : </w:t>
      </w:r>
      <w:r>
        <w:rPr>
          <w:sz w:val="20"/>
        </w:rPr>
        <w:t>Garantie bancaire</w:t>
      </w:r>
    </w:p>
    <w:p>
      <w:pPr>
        <w:spacing w:after="40"/>
      </w:pPr>
      <w:r>
        <w:rPr>
          <w:b w:val="on"/>
          <w:sz w:val="20"/>
        </w:rPr>
        <w:t xml:space="preserve">Modalités de remboursement de l'avance : </w:t>
      </w:r>
      <w:r>
        <w:rPr>
          <w:sz w:val="20"/>
        </w:rPr>
        <w:t>L'avance forfaitaire est remboursée par précompte sur les sommes dues au titulaire, au fur et à mesure des livraisons, de sorte qu'elle soit entièrement remboursée lorsque le montant des paiements atteint 80 % du montant du marché.</w:t>
      </w:r>
    </w:p>
    <w:p>
      <w:pPr>
        <w:spacing w:after="40"/>
      </w:pPr>
      <w:r>
        <w:rPr>
          <w:b w:val="on"/>
          <w:sz w:val="20"/>
        </w:rPr>
        <w:t xml:space="preserve">Précompte sur les sommes dues (%) : </w:t>
      </w:r>
      <w:r>
        <w:rPr>
          <w:sz w:val="20"/>
        </w:rPr>
        <w:t>20 %</w:t>
      </w:r>
    </w:p>
    <w:p>
      <w:pPr>
        <w:spacing w:after="60"/>
        <w:jc w:val="left"/>
      </w:pPr>
      <w:r>
        <w:rPr>
          <w:b w:val="on"/>
          <w:sz w:val="22"/>
        </w:rPr>
        <w:t>Acompte</w:t>
      </w:r>
    </w:p>
    <w:p>
      <w:pPr>
        <w:spacing w:after="40"/>
      </w:pPr>
      <w:r>
        <w:rPr>
          <w:b w:val="on"/>
          <w:sz w:val="20"/>
        </w:rPr>
        <w:t xml:space="preserve">Acomptes prévus : </w:t>
      </w:r>
      <w:r>
        <w:rPr>
          <w:sz w:val="20"/>
        </w:rPr>
        <w:t>Non</w:t>
      </w:r>
    </w:p>
    <w:p>
      <w:pPr>
        <w:spacing w:after="60"/>
        <w:jc w:val="left"/>
      </w:pPr>
      <w:r>
        <w:rPr>
          <w:b w:val="on"/>
          <w:sz w:val="22"/>
        </w:rPr>
        <w:t>Intérêts moratoires</w:t>
      </w:r>
    </w:p>
    <w:p>
      <w:pPr>
        <w:spacing w:after="40"/>
      </w:pPr>
      <w:r>
        <w:rPr>
          <w:b w:val="on"/>
          <w:sz w:val="20"/>
        </w:rPr>
        <w:t xml:space="preserve">Taux des intérêts moratoires dus au fournisseur (%) : </w:t>
      </w:r>
      <w:r>
        <w:rPr>
          <w:sz w:val="20"/>
        </w:rPr>
        <w:t>9 %</w:t>
      </w:r>
    </w:p>
    <w:p>
      <w:pPr>
        <w:spacing w:after="60"/>
        <w:jc w:val="left"/>
      </w:pPr>
      <w:r>
        <w:rPr>
          <w:b w:val="on"/>
          <w:sz w:val="22"/>
        </w:rPr>
        <w:t>Garantie de bonne exécution</w:t>
      </w:r>
    </w:p>
    <w:p>
      <w:pPr>
        <w:spacing w:after="40"/>
      </w:pPr>
      <w:r>
        <w:rPr>
          <w:b w:val="on"/>
          <w:sz w:val="20"/>
        </w:rPr>
        <w:t xml:space="preserve">Garantie de bonne exécution exigée : </w:t>
      </w:r>
      <w:r>
        <w:rPr>
          <w:sz w:val="20"/>
        </w:rPr>
        <w:t>Non</w:t>
      </w:r>
    </w:p>
    <w:p>
      <w:pPr>
        <w:spacing w:after="60"/>
        <w:jc w:val="left"/>
      </w:pPr>
      <w:r>
        <w:rPr>
          <w:b w:val="on"/>
          <w:sz w:val="22"/>
        </w:rPr>
        <w:t>Retenue de garantie</w:t>
      </w:r>
    </w:p>
    <w:p>
      <w:pPr>
        <w:spacing w:after="40"/>
      </w:pPr>
      <w:r>
        <w:rPr>
          <w:b w:val="on"/>
          <w:sz w:val="20"/>
        </w:rPr>
        <w:t xml:space="preserve">Retenue de garantie pratiquée : </w:t>
      </w:r>
      <w:r>
        <w:rPr>
          <w:sz w:val="20"/>
        </w:rPr>
        <w:t>Non</w:t>
      </w:r>
    </w:p>
    <w:p>
      <w:pPr>
        <w:spacing w:after="120"/>
        <w:jc w:val="left"/>
      </w:pPr>
      <w:r>
        <w:rPr>
          <w:b w:val="on"/>
          <w:sz w:val="26"/>
        </w:rPr>
        <w:t>Exécution du marché &amp; livraison</w:t>
      </w:r>
    </w:p>
    <w:p>
      <w:pPr>
        <w:spacing w:after="60"/>
        <w:jc w:val="left"/>
      </w:pPr>
      <w:r>
        <w:rPr>
          <w:b w:val="on"/>
          <w:sz w:val="22"/>
        </w:rPr>
        <w:t>Lieu de livraison</w:t>
      </w:r>
    </w:p>
    <w:p>
      <w:pPr>
        <w:spacing w:after="40"/>
      </w:pPr>
      <w:r>
        <w:rPr>
          <w:b w:val="on"/>
          <w:sz w:val="20"/>
        </w:rPr>
        <w:t xml:space="preserve">Lieu de livraison — lot 1 : </w:t>
      </w:r>
      <w:r>
        <w:rPr>
          <w:sz w:val="20"/>
        </w:rPr>
        <w:t>MINISTERE FIADANANA</w:t>
      </w:r>
    </w:p>
    <w:p>
      <w:pPr>
        <w:spacing w:after="40"/>
      </w:pPr>
      <w:r>
        <w:rPr>
          <w:b w:val="on"/>
          <w:sz w:val="20"/>
        </w:rPr>
        <w:t xml:space="preserve">Lieu de livraison — lot 2 : </w:t>
      </w:r>
      <w:r>
        <w:rPr>
          <w:sz w:val="20"/>
        </w:rPr>
        <w:t>AMBATONDRAZAKA</w:t>
      </w:r>
    </w:p>
    <w:p>
      <w:pPr>
        <w:spacing w:after="40"/>
      </w:pPr>
      <w:r>
        <w:rPr>
          <w:b w:val="on"/>
          <w:sz w:val="20"/>
        </w:rPr>
        <w:t xml:space="preserve">Lieu de livraison — lot 3 : </w:t>
      </w:r>
      <w:r>
        <w:rPr>
          <w:sz w:val="20"/>
        </w:rPr>
        <w:t>AMBATONDRAZAKA</w:t>
      </w:r>
    </w:p>
    <w:p>
      <w:pPr>
        <w:spacing w:after="40"/>
      </w:pPr>
      <w:r>
        <w:rPr>
          <w:b w:val="on"/>
          <w:sz w:val="20"/>
        </w:rPr>
        <w:t xml:space="preserve">Lieu de livraison — lot 4 : </w:t>
      </w:r>
      <w:r>
        <w:rPr>
          <w:sz w:val="20"/>
        </w:rPr>
        <w:t>FORT DAUPHIN</w:t>
      </w:r>
    </w:p>
    <w:p>
      <w:pPr>
        <w:spacing w:after="40"/>
      </w:pPr>
      <w:r>
        <w:rPr>
          <w:b w:val="on"/>
          <w:sz w:val="20"/>
        </w:rPr>
        <w:t xml:space="preserve">Lieu de livraison — lot 5 : </w:t>
      </w:r>
      <w:r>
        <w:rPr>
          <w:sz w:val="20"/>
        </w:rPr>
        <w:t>FORT DAUPHIN</w:t>
      </w:r>
    </w:p>
    <w:p>
      <w:pPr>
        <w:spacing w:after="60"/>
        <w:jc w:val="left"/>
      </w:pPr>
      <w:r>
        <w:rPr>
          <w:b w:val="on"/>
          <w:sz w:val="22"/>
        </w:rPr>
        <w:t>Ordres de modification et avenants</w:t>
      </w:r>
    </w:p>
    <w:p>
      <w:pPr>
        <w:spacing w:after="40"/>
      </w:pPr>
      <w:r>
        <w:rPr>
          <w:b w:val="on"/>
          <w:sz w:val="20"/>
        </w:rPr>
        <w:t xml:space="preserve">Délai de communication par le fournisseur sur l'ajustement de prix ou de délai (jours) : </w:t>
      </w:r>
      <w:r>
        <w:rPr>
          <w:sz w:val="20"/>
        </w:rPr>
        <w:t>10</w:t>
      </w:r>
    </w:p>
    <w:p>
      <w:pPr>
        <w:spacing w:after="40"/>
      </w:pPr>
      <w:r>
        <w:rPr>
          <w:b w:val="on"/>
          <w:sz w:val="20"/>
        </w:rPr>
        <w:t xml:space="preserve">Variation maximale des volumes ou quantités (%) : </w:t>
      </w:r>
      <w:r>
        <w:rPr>
          <w:sz w:val="20"/>
        </w:rPr>
        <w:t>20 %</w:t>
      </w:r>
    </w:p>
    <w:p>
      <w:pPr>
        <w:spacing w:after="40"/>
      </w:pPr>
      <w:r>
        <w:rPr>
          <w:b w:val="on"/>
          <w:sz w:val="20"/>
        </w:rPr>
        <w:t xml:space="preserve">Délai de validité du marché (mois) : </w:t>
      </w:r>
      <w:r>
        <w:rPr>
          <w:sz w:val="20"/>
        </w:rPr>
        <w:t>12</w:t>
      </w:r>
    </w:p>
    <w:p>
      <w:pPr>
        <w:spacing w:after="60"/>
        <w:jc w:val="left"/>
      </w:pPr>
      <w:r>
        <w:rPr>
          <w:b w:val="on"/>
          <w:sz w:val="22"/>
        </w:rPr>
        <w:t>Délai d'exécution</w:t>
      </w:r>
    </w:p>
    <w:p>
      <w:pPr>
        <w:spacing w:after="40"/>
      </w:pPr>
      <w:r>
        <w:rPr>
          <w:b w:val="on"/>
          <w:sz w:val="20"/>
        </w:rPr>
        <w:t xml:space="preserve">Délai d'exécution (jours) : </w:t>
      </w:r>
      <w:r>
        <w:rPr>
          <w:sz w:val="20"/>
        </w:rPr>
        <w:t>30</w:t>
      </w:r>
    </w:p>
    <w:p>
      <w:pPr>
        <w:spacing w:after="40"/>
      </w:pPr>
      <w:r>
        <w:rPr>
          <w:b w:val="on"/>
          <w:sz w:val="20"/>
        </w:rPr>
        <w:t xml:space="preserve">Point de départ du délai s'il diffère de la date de notification : </w:t>
      </w:r>
      <w:r>
        <w:rPr>
          <w:sz w:val="20"/>
        </w:rPr>
        <w:t>À compter du lendemain de la date de notification de chaque bon de commande.</w:t>
      </w:r>
    </w:p>
    <w:p>
      <w:pPr>
        <w:spacing w:after="40"/>
      </w:pPr>
      <w:r>
        <w:rPr>
          <w:b w:val="on"/>
          <w:sz w:val="20"/>
        </w:rPr>
        <w:t xml:space="preserve">Modalités et période de passation des commandes : </w:t>
      </w:r>
      <w:r>
        <w:rPr>
          <w:sz w:val="20"/>
        </w:rPr>
        <w:t>Le délai de livraison est fixé dans le bon de commande sans toutefois dépasser TRENTE (30) JOURS à compter du lendemain de la date de notification dudit bon de commande. Chaque bon de commande précisera : la nature et la description des prestations à réaliser ; les délais d'exécution ; les lieux d'exécution ; le montant du bon de commande ; les délais laissés le cas échéant aux Fournisseurs pour formuler leurs observations. Seuls les bons de commande signés par l'Ordonnateur Secondaire pourront être honorés. La durée de validité est de 12 mois à compter de la date d'effet.</w:t>
      </w:r>
    </w:p>
    <w:p>
      <w:pPr>
        <w:spacing w:after="60"/>
        <w:jc w:val="left"/>
      </w:pPr>
      <w:r>
        <w:rPr>
          <w:b w:val="on"/>
          <w:sz w:val="22"/>
        </w:rPr>
        <w:t>Pièces contractuelles</w:t>
      </w:r>
    </w:p>
    <w:p>
      <w:pPr>
        <w:spacing w:after="40"/>
      </w:pPr>
      <w:r>
        <w:rPr>
          <w:b w:val="on"/>
          <w:sz w:val="20"/>
        </w:rPr>
        <w:t xml:space="preserve">Pièces contractuelles supplémentaires : </w:t>
      </w:r>
      <w:r>
        <w:rPr>
          <w:sz w:val="20"/>
        </w:rPr>
        <w:t>Aucune pièce supplémentaire : l'ordre de priorité des pièces contractuelles est celui fixé par l'article 6 du CCAG (CCAP art. 5).</w:t>
      </w:r>
    </w:p>
    <w:p>
      <w:pPr>
        <w:spacing w:after="60"/>
        <w:jc w:val="left"/>
      </w:pPr>
      <w:r>
        <w:rPr>
          <w:b w:val="on"/>
          <w:sz w:val="22"/>
        </w:rPr>
        <w:t>Protection du secret</w:t>
      </w:r>
    </w:p>
    <w:p>
      <w:pPr>
        <w:spacing w:after="40"/>
      </w:pPr>
      <w:r>
        <w:rPr>
          <w:b w:val="on"/>
          <w:sz w:val="20"/>
        </w:rPr>
        <w:t xml:space="preserve">Mesures de sécurité applicables : </w:t>
      </w:r>
      <w:r>
        <w:rPr>
          <w:sz w:val="20"/>
        </w:rPr>
        <w:t>Non</w:t>
      </w:r>
    </w:p>
    <w:p>
      <w:pPr>
        <w:spacing w:after="60"/>
        <w:jc w:val="left"/>
      </w:pPr>
      <w:r>
        <w:rPr>
          <w:b w:val="on"/>
          <w:sz w:val="22"/>
        </w:rPr>
        <w:t>Pénalités de retard</w:t>
      </w:r>
    </w:p>
    <w:p>
      <w:pPr>
        <w:spacing w:after="40"/>
      </w:pPr>
      <w:r>
        <w:rPr>
          <w:b w:val="on"/>
          <w:sz w:val="20"/>
        </w:rPr>
        <w:t xml:space="preserve">Régime des pénalités de retard : </w:t>
      </w:r>
      <w:r>
        <w:rPr>
          <w:sz w:val="20"/>
        </w:rPr>
        <w:t>PLAFOND_DIFFERENT</w:t>
      </w:r>
    </w:p>
    <w:p>
      <w:pPr>
        <w:spacing w:after="40"/>
      </w:pPr>
      <w:r>
        <w:rPr>
          <w:b w:val="on"/>
          <w:sz w:val="20"/>
        </w:rPr>
        <w:t xml:space="preserve">Plafond des pénalités de retard (%) : </w:t>
      </w:r>
      <w:r>
        <w:rPr>
          <w:sz w:val="20"/>
        </w:rPr>
        <w:t>10 %</w:t>
      </w:r>
    </w:p>
    <w:p>
      <w:pPr>
        <w:spacing w:after="40"/>
      </w:pPr>
      <w:r>
        <w:rPr>
          <w:b w:val="on"/>
          <w:sz w:val="20"/>
        </w:rPr>
        <w:t xml:space="preserve">Dérogation au CCAG justifiant le plafond des pénalités : </w:t>
      </w:r>
      <w:r>
        <w:rPr>
          <w:sz w:val="20"/>
        </w:rPr>
        <w:t>CCAP art. 11 : « En cas de retard dans l'exécution de chaque commande, il est appliqué une pénalité journalière de 1/1000 du montant de la commande. Le montant des pénalités est plafonné à dix pour cent (10 %) du montant du Marché, y compris le montant de ses avenants. » — dérogation au plafond de 15 % du CCAG (art. 12), que le tableau des dérogations de l'article 24 du CCAP ne récapitule pas.</w:t>
      </w:r>
    </w:p>
    <w:p>
      <w:pPr>
        <w:spacing w:after="60"/>
        <w:jc w:val="left"/>
      </w:pPr>
      <w:r>
        <w:rPr>
          <w:b w:val="on"/>
          <w:sz w:val="22"/>
        </w:rPr>
        <w:t>Matériels confiés</w:t>
      </w:r>
    </w:p>
    <w:p>
      <w:pPr>
        <w:spacing w:after="40"/>
      </w:pPr>
      <w:r>
        <w:rPr>
          <w:b w:val="on"/>
          <w:sz w:val="20"/>
        </w:rPr>
        <w:t xml:space="preserve">Matériels, objets et approvisionnements confiés au fournisseur : </w:t>
      </w:r>
      <w:r>
        <w:rPr>
          <w:sz w:val="20"/>
        </w:rPr>
        <w:t>Non</w:t>
      </w:r>
    </w:p>
    <w:p>
      <w:pPr>
        <w:spacing w:after="60"/>
        <w:jc w:val="left"/>
      </w:pPr>
      <w:r>
        <w:rPr>
          <w:b w:val="on"/>
          <w:sz w:val="22"/>
        </w:rPr>
        <w:t>Stockage</w:t>
      </w:r>
    </w:p>
    <w:p>
      <w:pPr>
        <w:spacing w:after="40"/>
      </w:pPr>
      <w:r>
        <w:rPr>
          <w:b w:val="on"/>
          <w:sz w:val="20"/>
        </w:rPr>
        <w:t xml:space="preserve">Stockage des fournitures à la charge du fournisseur : </w:t>
      </w:r>
      <w:r>
        <w:rPr>
          <w:sz w:val="20"/>
        </w:rPr>
        <w:t>Oui</w:t>
      </w:r>
    </w:p>
    <w:p>
      <w:pPr>
        <w:spacing w:after="60"/>
        <w:jc w:val="left"/>
      </w:pPr>
      <w:r>
        <w:rPr>
          <w:b w:val="on"/>
          <w:sz w:val="22"/>
        </w:rPr>
        <w:t>Emballage</w:t>
      </w:r>
    </w:p>
    <w:p>
      <w:pPr>
        <w:spacing w:after="40"/>
      </w:pPr>
      <w:r>
        <w:rPr>
          <w:b w:val="on"/>
          <w:sz w:val="20"/>
        </w:rPr>
        <w:t xml:space="preserve">Marquage requis sur les emballages : </w:t>
      </w:r>
      <w:r>
        <w:rPr>
          <w:sz w:val="20"/>
        </w:rPr>
        <w:t>Emballage d’origine.</w:t>
      </w:r>
    </w:p>
    <w:p>
      <w:pPr>
        <w:spacing w:after="40"/>
      </w:pPr>
      <w:r>
        <w:rPr>
          <w:b w:val="on"/>
          <w:sz w:val="20"/>
        </w:rPr>
        <w:t xml:space="preserve">Documents requis dans les emballages : </w:t>
      </w:r>
      <w:r>
        <w:rPr>
          <w:sz w:val="20"/>
        </w:rPr>
        <w:t>Aucun document particulier n'est exigé dans les emballages (CCAP art. 15 : emballage d'origine).</w:t>
      </w:r>
    </w:p>
    <w:p>
      <w:pPr>
        <w:spacing w:after="60"/>
        <w:jc w:val="left"/>
      </w:pPr>
      <w:r>
        <w:rPr>
          <w:b w:val="on"/>
          <w:sz w:val="22"/>
        </w:rPr>
        <w:t>Responsabilité du transport</w:t>
      </w:r>
    </w:p>
    <w:p>
      <w:pPr>
        <w:spacing w:after="40"/>
      </w:pPr>
      <w:r>
        <w:rPr>
          <w:b w:val="on"/>
          <w:sz w:val="20"/>
        </w:rPr>
        <w:t xml:space="preserve">Responsabilité du transport : </w:t>
      </w:r>
      <w:r>
        <w:rPr>
          <w:sz w:val="20"/>
        </w:rPr>
        <w:t>Transport par le fournisseur jusqu'à la destination finale</w:t>
      </w:r>
    </w:p>
    <w:p>
      <w:pPr>
        <w:spacing w:after="60"/>
        <w:jc w:val="left"/>
      </w:pPr>
      <w:r>
        <w:rPr>
          <w:b w:val="on"/>
          <w:sz w:val="22"/>
        </w:rPr>
        <w:t>Livraison des fournitures</w:t>
      </w:r>
    </w:p>
    <w:p>
      <w:pPr>
        <w:spacing w:after="40"/>
      </w:pPr>
      <w:r>
        <w:rPr>
          <w:b w:val="on"/>
          <w:sz w:val="20"/>
        </w:rPr>
        <w:t xml:space="preserve">Modalités de livraison des fournitures : </w:t>
      </w:r>
      <w:r>
        <w:rPr>
          <w:sz w:val="20"/>
        </w:rPr>
        <w:t>Les fournitures seront livrées au : lot n° 1 : MINISTERE FIADANANA ; lot n° 2 : AMBATONDRAZAKA ; lot n° 3 : AMBATONDRAZAKA ; lot n° 4 : FORT DAUPHIN ; lot n° 5 : FORT DAUPHIN. Les documents de livraison doivent être reçus par la Personne Responsable des Marchés Publics avant l'arrivée des fournitures, faute de quoi le Fournisseur est responsable de toute dépense subséquente. La livraison est constatée par la délivrance d'un récépissé au Fournisseur ou par la signature d'un double du bulletin de livraison ou de l'état.</w:t>
      </w:r>
    </w:p>
    <w:p>
      <w:pPr>
        <w:spacing w:after="40"/>
      </w:pPr>
      <w:r>
        <w:rPr>
          <w:b w:val="on"/>
          <w:sz w:val="20"/>
        </w:rPr>
        <w:t xml:space="preserve">Documents à fournir par le fournisseur à la livraison : </w:t>
      </w:r>
      <w:r>
        <w:rPr>
          <w:sz w:val="20"/>
        </w:rPr>
        <w:t>Cinq (05) exemplaires de la facture du Fournisseur indiquant la description des Fournitures, leurs quantités, leurs prix unitaires, le montant total, la date de l'expédition, la référence à la commande ou au Marché, l'identification du Fournisseur, l'identification des fournitures livrées et, quand il y a lieu, leur répartition par colis ; le bon de livraison, ou le récépissé du transporteur.</w:t>
      </w:r>
    </w:p>
    <w:p>
      <w:pPr>
        <w:spacing w:after="60"/>
        <w:jc w:val="left"/>
      </w:pPr>
      <w:r>
        <w:rPr>
          <w:b w:val="on"/>
          <w:sz w:val="22"/>
        </w:rPr>
        <w:t>Assurance</w:t>
      </w:r>
    </w:p>
    <w:p>
      <w:pPr>
        <w:spacing w:after="40"/>
      </w:pPr>
      <w:r>
        <w:rPr>
          <w:b w:val="on"/>
          <w:sz w:val="20"/>
        </w:rPr>
        <w:t xml:space="preserve">Assurance des fournitures : </w:t>
      </w:r>
      <w:r>
        <w:rPr>
          <w:sz w:val="20"/>
        </w:rPr>
        <w:t>À la charge du fournisseur jusqu'à la livraison</w:t>
      </w:r>
    </w:p>
    <w:p>
      <w:pPr>
        <w:spacing w:after="60"/>
        <w:jc w:val="left"/>
      </w:pPr>
      <w:r>
        <w:rPr>
          <w:b w:val="on"/>
          <w:sz w:val="22"/>
        </w:rPr>
        <w:t>Contrôle des prix de revient</w:t>
      </w:r>
    </w:p>
    <w:p>
      <w:pPr>
        <w:spacing w:after="40"/>
      </w:pPr>
      <w:r>
        <w:rPr>
          <w:b w:val="on"/>
          <w:sz w:val="20"/>
        </w:rPr>
        <w:t xml:space="preserve">Contrôle des prix de revient applicable : </w:t>
      </w:r>
      <w:r>
        <w:rPr>
          <w:sz w:val="20"/>
        </w:rPr>
        <w:t>Non</w:t>
      </w:r>
    </w:p>
    <w:p>
      <w:pPr>
        <w:spacing w:after="60"/>
        <w:jc w:val="left"/>
      </w:pPr>
      <w:r>
        <w:rPr>
          <w:b w:val="on"/>
          <w:sz w:val="22"/>
        </w:rPr>
        <w:t>Inspections, vérifications et essais</w:t>
      </w:r>
    </w:p>
    <w:p>
      <w:pPr>
        <w:spacing w:after="40"/>
      </w:pPr>
      <w:r>
        <w:rPr>
          <w:b w:val="on"/>
          <w:sz w:val="20"/>
        </w:rPr>
        <w:t xml:space="preserve">Inspections, vérifications et essais : </w:t>
      </w:r>
      <w:r>
        <w:rPr>
          <w:sz w:val="20"/>
        </w:rPr>
        <w:t>Les vérifications et inspections des fournitures sont effectuées au lieu de destination finale, au moment de la livraison. Tous les frais y afférents sont à la charge totale du fournisseur.</w:t>
      </w:r>
    </w:p>
    <w:p>
      <w:pPr>
        <w:spacing w:after="60"/>
        <w:jc w:val="left"/>
      </w:pPr>
      <w:r>
        <w:rPr>
          <w:b w:val="on"/>
          <w:sz w:val="22"/>
        </w:rPr>
        <w:t>Décision après inspection</w:t>
      </w:r>
    </w:p>
    <w:p>
      <w:pPr>
        <w:spacing w:after="40"/>
      </w:pPr>
      <w:r>
        <w:rPr>
          <w:b w:val="on"/>
          <w:sz w:val="20"/>
        </w:rPr>
        <w:t xml:space="preserve">Décision après inspection et essais : </w:t>
      </w:r>
      <w:r>
        <w:rPr>
          <w:sz w:val="20"/>
        </w:rPr>
        <w:t>Sur demande du fournisseur, pour chaque commande, la réception prononcée à la livraison par une commission de réception désignée par une décision de l'Acheteur vaudra réception provisoire de la commande. La réception définitive de la commande sera prononcée dans les mêmes formes à l'issue du délai de garantie ; la réception définitive de la dernière commande vaudra réception définitive du marché. À l'issue des opérations d'inspection, la commission de réception prend sa décision de réception, d'ajournement, de réfaction ou de rejet dans un délai de deux (2) jours.</w:t>
      </w:r>
    </w:p>
    <w:p>
      <w:pPr>
        <w:spacing w:after="60"/>
        <w:jc w:val="left"/>
      </w:pPr>
      <w:r>
        <w:rPr>
          <w:b w:val="on"/>
          <w:sz w:val="22"/>
        </w:rPr>
        <w:t>Délai de garantie</w:t>
      </w:r>
    </w:p>
    <w:p>
      <w:pPr>
        <w:spacing w:after="40"/>
      </w:pPr>
      <w:r>
        <w:rPr>
          <w:b w:val="on"/>
          <w:sz w:val="20"/>
        </w:rPr>
        <w:t xml:space="preserve">Délai de garantie (mois) : </w:t>
      </w:r>
      <w:r>
        <w:rPr>
          <w:sz w:val="20"/>
        </w:rPr>
        <w:t>2</w:t>
      </w:r>
    </w:p>
    <w:p>
      <w:pPr>
        <w:spacing w:after="40"/>
      </w:pPr>
      <w:r>
        <w:rPr>
          <w:b w:val="on"/>
          <w:sz w:val="20"/>
        </w:rPr>
        <w:t xml:space="preserve">Étendue de la garantie : </w:t>
      </w:r>
      <w:r>
        <w:rPr>
          <w:sz w:val="20"/>
        </w:rPr>
        <w:t>Les fournitures doivent être garanties contre tout risque de fabrication ou de matière pendant DEUX (02) MOIS à compter de la date de réception provisoire. Durant ce délai de garantie, le Fournisseur se conforme aux garanties de performance spécifiées en vertu du Marché ; si, pour des raisons imputables au Fournisseur, ces garanties ne sont pas atteintes, il apporte aux fournitures, à ses frais, les changements, modifications et/ou adjonctions nécessaires pour atteindre les garanties contractuelles.</w:t>
      </w:r>
    </w:p>
    <w:p>
      <w:pPr>
        <w:spacing w:after="120"/>
        <w:jc w:val="left"/>
      </w:pPr>
      <w:r>
        <w:rPr>
          <w:b w:val="on"/>
          <w:sz w:val="26"/>
        </w:rPr>
        <w:t>Modifications, résiliation &amp; litiges</w:t>
      </w:r>
    </w:p>
    <w:p>
      <w:pPr>
        <w:spacing w:after="60"/>
        <w:jc w:val="left"/>
      </w:pPr>
      <w:r>
        <w:rPr>
          <w:b w:val="on"/>
          <w:sz w:val="22"/>
        </w:rPr>
        <w:t>Indemnité de résiliation</w:t>
      </w:r>
    </w:p>
    <w:p>
      <w:pPr>
        <w:spacing w:after="40"/>
      </w:pPr>
      <w:r>
        <w:rPr>
          <w:b w:val="on"/>
          <w:sz w:val="20"/>
        </w:rPr>
        <w:t xml:space="preserve">Indemnité de résiliation prévue : </w:t>
      </w:r>
      <w:r>
        <w:rPr>
          <w:sz w:val="20"/>
        </w:rPr>
        <w:t>Oui</w:t>
      </w:r>
    </w:p>
    <w:p>
      <w:pPr>
        <w:spacing w:after="40"/>
      </w:pPr>
      <w:r>
        <w:rPr>
          <w:b w:val="on"/>
          <w:sz w:val="20"/>
        </w:rPr>
        <w:t xml:space="preserve">Modalités de l'indemnité de résiliation : </w:t>
      </w:r>
      <w:r>
        <w:rPr>
          <w:sz w:val="20"/>
        </w:rPr>
        <w:t>Les dispositions de l'article 32 du CCAG s'appliquent.</w:t>
      </w:r>
    </w:p>
    <w:p>
      <w:pPr>
        <w:spacing w:after="60"/>
        <w:jc w:val="left"/>
      </w:pPr>
      <w:r>
        <w:rPr>
          <w:b w:val="on"/>
          <w:sz w:val="22"/>
        </w:rPr>
        <w:t>Arbitrage</w:t>
      </w:r>
    </w:p>
    <w:p>
      <w:pPr>
        <w:spacing w:after="40"/>
      </w:pPr>
      <w:r>
        <w:rPr>
          <w:b w:val="on"/>
          <w:sz w:val="20"/>
        </w:rPr>
        <w:t xml:space="preserve">Arbitrage et règlement des litiges : </w:t>
      </w:r>
      <w:r>
        <w:rPr>
          <w:sz w:val="20"/>
        </w:rPr>
        <w:t>Aucune clause particulière au CCAP : le règlement des différends suit le CCAG.</w:t>
      </w:r>
    </w:p>
    <w:p>
      <w:pPr>
        <w:spacing w:after="60"/>
        <w:jc w:val="left"/>
      </w:pPr>
      <w:r>
        <w:rPr>
          <w:b w:val="on"/>
          <w:sz w:val="22"/>
        </w:rPr>
        <w:t>Dérogation aux documents généraux</w:t>
      </w:r>
    </w:p>
    <w:p>
      <w:pPr>
        <w:spacing w:after="40"/>
      </w:pPr>
      <w:r>
        <w:rPr>
          <w:b w:val="on"/>
          <w:sz w:val="20"/>
        </w:rPr>
        <w:t xml:space="preserve">Dérogations aux documents généraux : </w:t>
      </w:r>
      <w:r>
        <w:rPr>
          <w:sz w:val="20"/>
        </w:rPr>
        <w:t>Article 22 du CCAP (délai de garantie de deux mois) dérogeant à l'article 23 du CCAG — seule dérogation récapitulée à l'article 24 du CCAP.</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303091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2026-09-26T15:34:43Z</dcterms:created>
  <dc:creator>Apache POI</dc:creator>
</cp:coreProperties>
</file>