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>Centrale</w:t>
      </w:r>
      <w:r>
        <w:rPr>
          <w:spacing w:val="-2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3"/>
          <w:sz w:val="20"/>
        </w:rPr>
        <w:t xml:space="preserve"> </w:t>
      </w:r>
      <w:r>
        <w:rPr>
          <w:sz w:val="20"/>
        </w:rPr>
        <w:t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>à</w:t>
      </w:r>
      <w:r>
        <w:rPr>
          <w:spacing w:val="-2"/>
          <w:sz w:val="20"/>
        </w:rPr>
        <w:t xml:space="preserve"> </w:t>
      </w:r>
      <w:r>
        <w:rPr>
          <w:sz w:val="20"/>
        </w:rPr>
        <w:t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>du</w:t>
      </w:r>
      <w:r>
        <w:rPr>
          <w:spacing w:val="-4"/>
          <w:sz w:val="20"/>
        </w:rPr>
        <w:t xml:space="preserve"> </w:t>
      </w:r>
      <w:r>
        <w:rPr>
          <w:sz w:val="20"/>
        </w:rPr>
        <w:t>PPM</w:t>
      </w:r>
      <w:r>
        <w:rPr>
          <w:spacing w:val="-2"/>
          <w:sz w:val="20"/>
        </w:rPr>
        <w:t xml:space="preserve"> </w:t>
      </w:r>
      <w:r>
        <w:rPr>
          <w:sz w:val="20"/>
        </w:rPr>
        <w:t>et à la publication de l’AGPM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