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>CENTRALE</w:t>
      </w:r>
      <w:r>
        <w:rPr>
          <w:spacing w:val="-12"/>
          <w:sz w:val="20"/>
        </w:rPr>
        <w:t xml:space="preserve"> </w:t>
      </w:r>
      <w:r>
        <w:rPr>
          <w:sz w:val="20"/>
        </w:rPr>
        <w:t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MARCHES….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LA</w:t>
      </w:r>
      <w:r>
        <w:rPr>
          <w:spacing w:val="-3"/>
          <w:u w:val="single"/>
        </w:rPr>
        <w:t xml:space="preserve"> </w:t>
      </w:r>
      <w:r>
        <w:rPr>
          <w:u w:val="single"/>
        </w:rPr>
        <w:t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CENTRALE…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Projet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Passation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z w:val="20"/>
        </w:rPr>
        <w:t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>INITIAL</w:t>
      </w:r>
      <w:r>
        <w:rPr>
          <w:sz w:val="20"/>
        </w:rPr>
        <w:t xml:space="preserve"> et d’Avis Général de Passation des Marchés</w:t>
      </w:r>
      <w:r>
        <w:rPr>
          <w:i/>
          <w:iCs/>
          <w:sz w:val="20"/>
        </w:rPr>
        <w:t xml:space="preserve"> INITIAL</w:t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>&lt;DATE EXAMEN&gt;</w:t>
      </w:r>
      <w:r>
        <w:rPr>
          <w:sz w:val="20"/>
        </w:rPr>
        <w:t>, la Commission Centrale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statué</w:t>
      </w:r>
      <w:r>
        <w:rPr>
          <w:spacing w:val="-8"/>
          <w:sz w:val="20"/>
        </w:rPr>
        <w:t xml:space="preserve"> </w:t>
      </w:r>
      <w:r>
        <w:rPr>
          <w:sz w:val="20"/>
        </w:rPr>
        <w:t>sur</w:t>
      </w:r>
      <w:r>
        <w:rPr>
          <w:spacing w:val="-9"/>
          <w:sz w:val="20"/>
        </w:rPr>
        <w:t xml:space="preserve"> </w:t>
      </w:r>
      <w:r>
        <w:rPr>
          <w:sz w:val="20"/>
        </w:rPr>
        <w:t>le</w:t>
      </w:r>
      <w:r>
        <w:rPr>
          <w:spacing w:val="-10"/>
          <w:sz w:val="20"/>
        </w:rPr>
        <w:t xml:space="preserve"> </w:t>
      </w:r>
      <w:r>
        <w:rPr>
          <w:sz w:val="20"/>
        </w:rPr>
        <w:t>dossier</w:t>
      </w:r>
      <w:r>
        <w:rPr>
          <w:spacing w:val="-9"/>
          <w:sz w:val="20"/>
        </w:rPr>
        <w:t xml:space="preserve"> </w:t>
      </w:r>
      <w:r>
        <w:rPr>
          <w:sz w:val="20"/>
        </w:rPr>
        <w:t>soumis</w:t>
      </w:r>
      <w:r>
        <w:rPr>
          <w:spacing w:val="-9"/>
          <w:sz w:val="20"/>
        </w:rPr>
        <w:t xml:space="preserve"> </w:t>
      </w:r>
      <w:r>
        <w:rPr>
          <w:sz w:val="20"/>
        </w:rPr>
        <w:t>à</w:t>
      </w:r>
      <w:r>
        <w:rPr>
          <w:spacing w:val="-10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contrôle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 xml:space="preserve">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Commission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Centrale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Marchés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FAVORABLE </w:t>
      </w:r>
      <w:r>
        <w:rPr>
          <w:sz w:val="20"/>
        </w:rPr>
        <w:t xml:space="preserve">à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du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PPM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et à la publication de l’AGPM.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r>
              <w:rPr>
                <w:sz w:val="22"/>
              </w:rPr>
              <w:t>&lt;VISEUR&gt;</w:t>
            </w:r>
          </w:p>
        </w:tc>
        <w:tc>
          <w:p>
            <w:r>
              <w:rPr>
                <w:sz w:val="22"/>
              </w:rPr>
              <w:t>&lt;NOM ET PRENOMS DU MEMBRE&gt;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